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34" w:rsidRDefault="00A03E36" w:rsidP="00A32334">
      <w:pPr>
        <w:pStyle w:val="ParaAttribute0"/>
        <w:spacing w:line="249" w:lineRule="auto"/>
        <w:ind w:left="0" w:firstLine="0"/>
        <w:rPr>
          <w:rStyle w:val="CharAttribute9"/>
          <w:color w:val="auto"/>
          <w:szCs w:val="24"/>
          <w:u w:val="none"/>
        </w:rPr>
      </w:pPr>
      <w:r w:rsidRPr="00A32334">
        <w:rPr>
          <w:rStyle w:val="CharAttribute25"/>
          <w:szCs w:val="24"/>
        </w:rPr>
        <w:t>LEP</w:t>
      </w:r>
      <w:r w:rsidRPr="00A32334">
        <w:rPr>
          <w:rStyle w:val="CharAttribute9"/>
          <w:color w:val="auto"/>
          <w:szCs w:val="24"/>
          <w:u w:val="none"/>
        </w:rPr>
        <w:t xml:space="preserve"> </w:t>
      </w:r>
      <w:r w:rsidRPr="00A32334">
        <w:rPr>
          <w:rStyle w:val="CharAttribute9"/>
          <w:color w:val="auto"/>
          <w:szCs w:val="24"/>
          <w:u w:val="none"/>
        </w:rPr>
        <w:t>–</w:t>
      </w:r>
      <w:r w:rsidRPr="00A32334">
        <w:rPr>
          <w:rStyle w:val="CharAttribute9"/>
          <w:color w:val="auto"/>
          <w:szCs w:val="24"/>
          <w:u w:val="none"/>
        </w:rPr>
        <w:t xml:space="preserve"> Sub Committee</w:t>
      </w:r>
    </w:p>
    <w:p w:rsidR="007F5774" w:rsidRDefault="007F5774" w:rsidP="00A32334">
      <w:pPr>
        <w:pStyle w:val="ParaAttribute0"/>
        <w:spacing w:line="249" w:lineRule="auto"/>
        <w:ind w:left="0" w:firstLine="0"/>
        <w:rPr>
          <w:rStyle w:val="CharAttribute9"/>
          <w:color w:val="auto"/>
          <w:szCs w:val="24"/>
          <w:u w:val="none"/>
        </w:rPr>
      </w:pPr>
    </w:p>
    <w:p w:rsidR="00A32334" w:rsidRDefault="00A03E36" w:rsidP="00A32334">
      <w:pPr>
        <w:pStyle w:val="ParaAttribute4"/>
        <w:spacing w:line="249" w:lineRule="auto"/>
        <w:rPr>
          <w:rStyle w:val="CharAttribute9"/>
          <w:color w:val="auto"/>
          <w:szCs w:val="24"/>
          <w:u w:val="none"/>
        </w:rPr>
      </w:pPr>
      <w:r w:rsidRPr="00A32334">
        <w:rPr>
          <w:rStyle w:val="CharAttribute9"/>
          <w:color w:val="auto"/>
          <w:szCs w:val="24"/>
          <w:u w:val="none"/>
        </w:rPr>
        <w:t xml:space="preserve">Growth Deal Management Board </w:t>
      </w:r>
    </w:p>
    <w:p w:rsidR="007F5774" w:rsidRDefault="007F5774" w:rsidP="00A32334">
      <w:pPr>
        <w:pStyle w:val="ParaAttribute4"/>
        <w:spacing w:line="249" w:lineRule="auto"/>
        <w:rPr>
          <w:rStyle w:val="CharAttribute9"/>
          <w:color w:val="auto"/>
          <w:szCs w:val="24"/>
          <w:u w:val="none"/>
        </w:rPr>
      </w:pPr>
    </w:p>
    <w:p w:rsidR="00A32334" w:rsidRDefault="00A03E36" w:rsidP="00A32334">
      <w:pPr>
        <w:pStyle w:val="ParaAttribute3"/>
        <w:spacing w:line="256" w:lineRule="auto"/>
        <w:rPr>
          <w:rStyle w:val="CharAttribute9"/>
          <w:color w:val="auto"/>
          <w:szCs w:val="24"/>
          <w:u w:val="none"/>
        </w:rPr>
      </w:pPr>
      <w:r w:rsidRPr="00A32334">
        <w:rPr>
          <w:rStyle w:val="CharAttribute9"/>
          <w:color w:val="auto"/>
          <w:szCs w:val="24"/>
          <w:u w:val="none"/>
        </w:rPr>
        <w:t xml:space="preserve">Private and Confidential: </w:t>
      </w:r>
      <w:r>
        <w:rPr>
          <w:rStyle w:val="CharAttribute1"/>
          <w:szCs w:val="24"/>
        </w:rPr>
        <w:t>No</w:t>
      </w:r>
      <w:r w:rsidRPr="00A32334">
        <w:rPr>
          <w:rStyle w:val="CharAttribute9"/>
          <w:color w:val="auto"/>
          <w:szCs w:val="24"/>
          <w:u w:val="none"/>
        </w:rPr>
        <w:t xml:space="preserve"> </w:t>
      </w:r>
    </w:p>
    <w:p w:rsidR="007F5774" w:rsidRDefault="007F5774" w:rsidP="00A32334">
      <w:pPr>
        <w:pStyle w:val="ParaAttribute3"/>
        <w:spacing w:line="256" w:lineRule="auto"/>
        <w:rPr>
          <w:rStyle w:val="CharAttribute9"/>
          <w:color w:val="auto"/>
          <w:szCs w:val="24"/>
          <w:u w:val="none"/>
        </w:rPr>
      </w:pPr>
    </w:p>
    <w:p w:rsidR="00A32334" w:rsidRDefault="00945F43" w:rsidP="00A32334">
      <w:pPr>
        <w:pStyle w:val="ParaAttribute4"/>
        <w:spacing w:line="249" w:lineRule="auto"/>
        <w:rPr>
          <w:rStyle w:val="CharAttribute1"/>
          <w:szCs w:val="24"/>
        </w:rPr>
      </w:pPr>
      <w:r>
        <w:rPr>
          <w:rStyle w:val="CharAttribute26"/>
          <w:szCs w:val="24"/>
        </w:rPr>
        <w:t>21st O</w:t>
      </w:r>
      <w:r w:rsidR="00A03E36" w:rsidRPr="00A32334">
        <w:rPr>
          <w:rStyle w:val="CharAttribute26"/>
          <w:szCs w:val="24"/>
        </w:rPr>
        <w:t>ctober</w:t>
      </w:r>
      <w:r w:rsidR="00A03E36" w:rsidRPr="00A32334">
        <w:rPr>
          <w:rStyle w:val="CharAttribute1"/>
          <w:szCs w:val="24"/>
        </w:rPr>
        <w:t xml:space="preserve"> 2015</w:t>
      </w:r>
    </w:p>
    <w:p w:rsidR="007F5774" w:rsidRDefault="007F5774" w:rsidP="00A32334">
      <w:pPr>
        <w:pStyle w:val="ParaAttribute4"/>
        <w:spacing w:line="249" w:lineRule="auto"/>
        <w:rPr>
          <w:rStyle w:val="CharAttribute1"/>
          <w:szCs w:val="24"/>
        </w:rPr>
      </w:pPr>
    </w:p>
    <w:p w:rsidR="00A32334" w:rsidRDefault="00945F43" w:rsidP="00A32334">
      <w:pPr>
        <w:pStyle w:val="ParaAttribute4"/>
        <w:spacing w:line="249" w:lineRule="auto"/>
        <w:rPr>
          <w:rStyle w:val="CharAttribute1"/>
          <w:szCs w:val="24"/>
        </w:rPr>
      </w:pPr>
      <w:r>
        <w:rPr>
          <w:rStyle w:val="CharAttribute1"/>
          <w:b/>
          <w:szCs w:val="24"/>
        </w:rPr>
        <w:t>G</w:t>
      </w:r>
      <w:r w:rsidR="00A03E36" w:rsidRPr="00267D7B">
        <w:rPr>
          <w:rStyle w:val="CharAttribute1"/>
          <w:b/>
          <w:szCs w:val="24"/>
        </w:rPr>
        <w:t xml:space="preserve">rowth Deal </w:t>
      </w:r>
      <w:r w:rsidR="00A03E36" w:rsidRPr="00267D7B">
        <w:rPr>
          <w:rStyle w:val="CharAttribute1"/>
          <w:b/>
          <w:szCs w:val="24"/>
        </w:rPr>
        <w:t>–</w:t>
      </w:r>
      <w:r w:rsidR="00A03E36" w:rsidRPr="00267D7B">
        <w:rPr>
          <w:rStyle w:val="CharAttribute1"/>
          <w:b/>
          <w:szCs w:val="24"/>
        </w:rPr>
        <w:t xml:space="preserve"> Final Investment Approvals</w:t>
      </w:r>
      <w:r w:rsidR="00A03E36">
        <w:rPr>
          <w:rStyle w:val="CharAttribute1"/>
          <w:szCs w:val="24"/>
        </w:rPr>
        <w:t xml:space="preserve"> </w:t>
      </w:r>
    </w:p>
    <w:p w:rsidR="007F5774" w:rsidRDefault="007F5774" w:rsidP="00A32334">
      <w:pPr>
        <w:pStyle w:val="ParaAttribute4"/>
        <w:spacing w:line="249" w:lineRule="auto"/>
        <w:rPr>
          <w:rStyle w:val="CharAttribute1"/>
          <w:szCs w:val="24"/>
        </w:rPr>
      </w:pPr>
    </w:p>
    <w:p w:rsidR="00945F43" w:rsidRDefault="00A03E36" w:rsidP="00945F43">
      <w:pPr>
        <w:pStyle w:val="ParaAttribute6"/>
        <w:spacing w:line="249" w:lineRule="auto"/>
        <w:rPr>
          <w:rStyle w:val="CharAttribute14"/>
          <w:szCs w:val="24"/>
        </w:rPr>
      </w:pPr>
      <w:r w:rsidRPr="00A32334">
        <w:rPr>
          <w:rStyle w:val="CharAttribute9"/>
          <w:color w:val="auto"/>
          <w:szCs w:val="24"/>
          <w:u w:val="none"/>
        </w:rPr>
        <w:t>Report Author:</w:t>
      </w:r>
      <w:r w:rsidR="00945F43">
        <w:rPr>
          <w:rStyle w:val="CharAttribute9"/>
          <w:color w:val="auto"/>
          <w:szCs w:val="24"/>
          <w:u w:val="none"/>
        </w:rPr>
        <w:t xml:space="preserve"> </w:t>
      </w:r>
      <w:r w:rsidRPr="00A32334">
        <w:rPr>
          <w:rStyle w:val="CharAttribute26"/>
          <w:szCs w:val="24"/>
        </w:rPr>
        <w:t>Beckie</w:t>
      </w:r>
      <w:r w:rsidRPr="00A32334">
        <w:rPr>
          <w:rStyle w:val="CharAttribute1"/>
          <w:szCs w:val="24"/>
        </w:rPr>
        <w:t xml:space="preserve"> Joyce, 01772 536617</w:t>
      </w:r>
      <w:r w:rsidR="00945F43">
        <w:rPr>
          <w:rStyle w:val="CharAttribute1"/>
          <w:szCs w:val="24"/>
        </w:rPr>
        <w:t xml:space="preserve"> </w:t>
      </w:r>
      <w:hyperlink r:id="rId8" w:history="1">
        <w:r w:rsidR="00945F43" w:rsidRPr="00490BA9">
          <w:rPr>
            <w:rStyle w:val="Hyperlink"/>
            <w:rFonts w:ascii="Arial" w:eastAsia="Arial"/>
            <w:sz w:val="24"/>
            <w:szCs w:val="24"/>
          </w:rPr>
          <w:t>Beckie.joyce@lancashire.gov.uk</w:t>
        </w:r>
      </w:hyperlink>
    </w:p>
    <w:p w:rsidR="00BF5873" w:rsidRPr="00A32334" w:rsidRDefault="00BF5873">
      <w:pPr>
        <w:pStyle w:val="ParaAttribute3"/>
        <w:spacing w:line="249" w:lineRule="auto"/>
        <w:rPr>
          <w:rFonts w:ascii="Arial" w:eastAsia="Calibri" w:hAnsi="Arial"/>
        </w:rPr>
      </w:pPr>
    </w:p>
    <w:tbl>
      <w:tblPr>
        <w:tblStyle w:val="DefaultTable"/>
        <w:tblW w:w="9356" w:type="dxa"/>
        <w:tblInd w:w="-5" w:type="dxa"/>
        <w:tblLook w:val="0000" w:firstRow="0" w:lastRow="0" w:firstColumn="0" w:lastColumn="0" w:noHBand="0" w:noVBand="0"/>
      </w:tblPr>
      <w:tblGrid>
        <w:gridCol w:w="9356"/>
      </w:tblGrid>
      <w:tr w:rsidR="00BF5873" w:rsidTr="007F5774">
        <w:tc>
          <w:tcPr>
            <w:tcW w:w="935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7F5774" w:rsidRDefault="007F5774">
            <w:pPr>
              <w:pStyle w:val="ParaAttribute1"/>
              <w:rPr>
                <w:rFonts w:ascii="Arial" w:eastAsia="Calibri" w:hAnsi="Arial"/>
              </w:rPr>
            </w:pPr>
          </w:p>
          <w:p w:rsidR="00BF5873" w:rsidRDefault="00A03E36">
            <w:pPr>
              <w:pStyle w:val="ParaAttribute6"/>
              <w:spacing w:line="249" w:lineRule="auto"/>
              <w:rPr>
                <w:rStyle w:val="CharAttribute12"/>
                <w:szCs w:val="24"/>
              </w:rPr>
            </w:pPr>
            <w:r>
              <w:rPr>
                <w:rStyle w:val="CharAttribute12"/>
                <w:szCs w:val="24"/>
              </w:rPr>
              <w:t>Executive Summary</w:t>
            </w:r>
          </w:p>
          <w:p w:rsidR="007F5774" w:rsidRDefault="007F5774">
            <w:pPr>
              <w:pStyle w:val="ParaAttribute6"/>
              <w:spacing w:line="249" w:lineRule="auto"/>
              <w:rPr>
                <w:rStyle w:val="CharAttribute12"/>
                <w:szCs w:val="24"/>
              </w:rPr>
            </w:pPr>
          </w:p>
          <w:p w:rsidR="0006045C" w:rsidRPr="00233D71" w:rsidRDefault="00A03E36" w:rsidP="0006045C">
            <w:pPr>
              <w:pStyle w:val="ParaAttribute7"/>
              <w:rPr>
                <w:rFonts w:ascii="Arial" w:hAnsi="Arial" w:cs="Arial"/>
                <w:sz w:val="24"/>
                <w:szCs w:val="24"/>
              </w:rPr>
            </w:pPr>
            <w:r w:rsidRPr="000A1D51">
              <w:rPr>
                <w:rStyle w:val="CharAttribute13"/>
                <w:szCs w:val="24"/>
              </w:rPr>
              <w:t xml:space="preserve">In accordance with the </w:t>
            </w:r>
            <w:r w:rsidRPr="000A1D51">
              <w:rPr>
                <w:rStyle w:val="CharAttribute22"/>
                <w:szCs w:val="24"/>
              </w:rPr>
              <w:t>LEP</w:t>
            </w:r>
            <w:r w:rsidRPr="000A1D51">
              <w:rPr>
                <w:rStyle w:val="CharAttribute13"/>
                <w:szCs w:val="24"/>
              </w:rPr>
              <w:t>’</w:t>
            </w:r>
            <w:r w:rsidRPr="000A1D51">
              <w:rPr>
                <w:rStyle w:val="CharAttribute13"/>
                <w:szCs w:val="24"/>
              </w:rPr>
              <w:t xml:space="preserve">s Assurance Framework, the business cases of </w:t>
            </w:r>
            <w:proofErr w:type="spellStart"/>
            <w:r w:rsidRPr="000A1D51">
              <w:rPr>
                <w:rStyle w:val="CharAttribute13"/>
                <w:szCs w:val="24"/>
              </w:rPr>
              <w:t>prioritisedGrowth</w:t>
            </w:r>
            <w:proofErr w:type="spellEnd"/>
            <w:r w:rsidRPr="000A1D51">
              <w:rPr>
                <w:rStyle w:val="CharAttribute13"/>
                <w:szCs w:val="24"/>
              </w:rPr>
              <w:t xml:space="preserve"> Deal projects are subject to independent assessment, prior to a</w:t>
            </w:r>
            <w:r w:rsidR="007F5774">
              <w:rPr>
                <w:rStyle w:val="CharAttribute13"/>
                <w:szCs w:val="24"/>
              </w:rPr>
              <w:t xml:space="preserve"> </w:t>
            </w:r>
            <w:r w:rsidRPr="000A1D51">
              <w:rPr>
                <w:rStyle w:val="CharAttribute13"/>
                <w:szCs w:val="24"/>
              </w:rPr>
              <w:t xml:space="preserve">final </w:t>
            </w:r>
            <w:r w:rsidR="007F5774">
              <w:rPr>
                <w:rStyle w:val="CharAttribute13"/>
                <w:szCs w:val="24"/>
              </w:rPr>
              <w:br/>
            </w:r>
            <w:r w:rsidRPr="000A1D51">
              <w:rPr>
                <w:rStyle w:val="CharAttribute13"/>
                <w:szCs w:val="24"/>
              </w:rPr>
              <w:t xml:space="preserve">investment decision by the </w:t>
            </w:r>
            <w:r w:rsidRPr="000A1D51">
              <w:rPr>
                <w:rStyle w:val="CharAttribute22"/>
                <w:szCs w:val="24"/>
              </w:rPr>
              <w:t>LEP</w:t>
            </w:r>
            <w:r w:rsidRPr="000A1D51">
              <w:rPr>
                <w:rStyle w:val="CharAttribute13"/>
                <w:szCs w:val="24"/>
              </w:rPr>
              <w:t xml:space="preserve"> Board. At its meeting on the 6</w:t>
            </w:r>
            <w:r w:rsidRPr="000A1D51">
              <w:rPr>
                <w:rStyle w:val="CharAttribute13"/>
                <w:szCs w:val="24"/>
                <w:vertAlign w:val="superscript"/>
              </w:rPr>
              <w:t>th</w:t>
            </w:r>
            <w:r w:rsidRPr="000A1D51">
              <w:rPr>
                <w:rStyle w:val="CharAttribute13"/>
                <w:szCs w:val="24"/>
              </w:rPr>
              <w:t xml:space="preserve"> October </w:t>
            </w:r>
            <w:r w:rsidR="00945F43">
              <w:rPr>
                <w:rStyle w:val="CharAttribute13"/>
                <w:szCs w:val="24"/>
              </w:rPr>
              <w:t>2015</w:t>
            </w:r>
            <w:r w:rsidR="00C2467A">
              <w:rPr>
                <w:rStyle w:val="CharAttribute13"/>
                <w:szCs w:val="24"/>
              </w:rPr>
              <w:t xml:space="preserve"> </w:t>
            </w:r>
            <w:r w:rsidRPr="000A1D51">
              <w:rPr>
                <w:rStyle w:val="CharAttribute13"/>
                <w:szCs w:val="24"/>
              </w:rPr>
              <w:t xml:space="preserve">the LEP Board considered and approved four Growth Deal schemes: </w:t>
            </w:r>
            <w:r w:rsidR="0006045C" w:rsidRPr="000A1D51">
              <w:rPr>
                <w:rFonts w:ascii="Arial" w:hAnsi="Arial" w:cs="Arial"/>
                <w:sz w:val="24"/>
                <w:szCs w:val="24"/>
              </w:rPr>
              <w:t>A6 Broughton Bypas</w:t>
            </w:r>
            <w:r w:rsidR="000A1D51" w:rsidRPr="000A1D51">
              <w:rPr>
                <w:rFonts w:ascii="Arial" w:hAnsi="Arial" w:cs="Arial"/>
                <w:sz w:val="24"/>
                <w:szCs w:val="24"/>
              </w:rPr>
              <w:t>s</w:t>
            </w:r>
            <w:r w:rsidR="000A1D51">
              <w:rPr>
                <w:rFonts w:ascii="Arial" w:hAnsi="Arial" w:cs="Arial"/>
                <w:sz w:val="24"/>
                <w:szCs w:val="24"/>
              </w:rPr>
              <w:t xml:space="preserve">, </w:t>
            </w:r>
            <w:r w:rsidR="007F5774">
              <w:rPr>
                <w:rFonts w:ascii="Arial" w:hAnsi="Arial" w:cs="Arial"/>
                <w:sz w:val="24"/>
                <w:szCs w:val="24"/>
              </w:rPr>
              <w:br/>
            </w:r>
            <w:r w:rsidR="0006045C" w:rsidRPr="000A1D51">
              <w:rPr>
                <w:rFonts w:ascii="Arial" w:hAnsi="Arial" w:cs="Arial"/>
                <w:sz w:val="24"/>
                <w:szCs w:val="24"/>
              </w:rPr>
              <w:t>Blackpool Integrated Traffic Management, Preston City Centre Improvements</w:t>
            </w:r>
            <w:r w:rsidR="007F5774">
              <w:rPr>
                <w:rFonts w:ascii="Arial" w:hAnsi="Arial" w:cs="Arial"/>
                <w:sz w:val="24"/>
                <w:szCs w:val="24"/>
              </w:rPr>
              <w:t xml:space="preserve"> and </w:t>
            </w:r>
            <w:r w:rsidR="007F5774">
              <w:rPr>
                <w:rFonts w:ascii="Arial" w:hAnsi="Arial" w:cs="Arial"/>
                <w:sz w:val="24"/>
                <w:szCs w:val="24"/>
              </w:rPr>
              <w:br/>
            </w:r>
            <w:r w:rsidR="000A1D51" w:rsidRPr="000A1D51">
              <w:rPr>
                <w:rFonts w:ascii="Arial" w:hAnsi="Arial" w:cs="Arial"/>
                <w:sz w:val="24"/>
                <w:szCs w:val="24"/>
              </w:rPr>
              <w:t xml:space="preserve">Blackpool </w:t>
            </w:r>
            <w:r w:rsidR="007F5774">
              <w:rPr>
                <w:rFonts w:ascii="Arial" w:hAnsi="Arial" w:cs="Arial"/>
                <w:sz w:val="24"/>
                <w:szCs w:val="24"/>
              </w:rPr>
              <w:t xml:space="preserve">and The </w:t>
            </w:r>
            <w:r w:rsidR="000A1D51" w:rsidRPr="000A1D51">
              <w:rPr>
                <w:rFonts w:ascii="Arial" w:hAnsi="Arial" w:cs="Arial"/>
                <w:sz w:val="24"/>
                <w:szCs w:val="24"/>
              </w:rPr>
              <w:t>Fylde College – Lancashire Energy HQ</w:t>
            </w:r>
          </w:p>
          <w:p w:rsidR="0006045C" w:rsidRDefault="0006045C">
            <w:pPr>
              <w:pStyle w:val="ParaAttribute7"/>
              <w:rPr>
                <w:rStyle w:val="CharAttribute13"/>
                <w:szCs w:val="24"/>
              </w:rPr>
            </w:pPr>
          </w:p>
          <w:p w:rsidR="00A32334" w:rsidRDefault="00A03E36">
            <w:pPr>
              <w:pStyle w:val="ParaAttribute7"/>
              <w:rPr>
                <w:rStyle w:val="CharAttribute13"/>
                <w:szCs w:val="24"/>
              </w:rPr>
            </w:pPr>
            <w:r>
              <w:rPr>
                <w:rStyle w:val="CharAttribute13"/>
                <w:szCs w:val="24"/>
              </w:rPr>
              <w:t>This report provides further</w:t>
            </w:r>
            <w:r w:rsidR="000A1D51">
              <w:rPr>
                <w:rStyle w:val="CharAttribute13"/>
                <w:szCs w:val="24"/>
              </w:rPr>
              <w:t xml:space="preserve"> </w:t>
            </w:r>
            <w:r>
              <w:rPr>
                <w:rStyle w:val="CharAttribute13"/>
                <w:szCs w:val="24"/>
              </w:rPr>
              <w:t xml:space="preserve">information of the first three schemes, with </w:t>
            </w:r>
            <w:r w:rsidR="000A1D51">
              <w:rPr>
                <w:rStyle w:val="CharAttribute13"/>
                <w:szCs w:val="24"/>
              </w:rPr>
              <w:t xml:space="preserve">Blackpool </w:t>
            </w:r>
            <w:r w:rsidR="007F5774">
              <w:rPr>
                <w:rStyle w:val="CharAttribute13"/>
                <w:szCs w:val="24"/>
              </w:rPr>
              <w:t xml:space="preserve">and The </w:t>
            </w:r>
            <w:r w:rsidR="000A1D51">
              <w:rPr>
                <w:rStyle w:val="CharAttribute13"/>
                <w:szCs w:val="24"/>
              </w:rPr>
              <w:t xml:space="preserve">Fylde </w:t>
            </w:r>
            <w:r>
              <w:rPr>
                <w:rStyle w:val="CharAttribute13"/>
                <w:szCs w:val="24"/>
              </w:rPr>
              <w:t xml:space="preserve">Energy HQ </w:t>
            </w:r>
            <w:r w:rsidR="000A1D51">
              <w:rPr>
                <w:rStyle w:val="CharAttribute13"/>
                <w:szCs w:val="24"/>
              </w:rPr>
              <w:t xml:space="preserve">being the subject of separate </w:t>
            </w:r>
            <w:r>
              <w:rPr>
                <w:rStyle w:val="CharAttribute13"/>
                <w:szCs w:val="24"/>
              </w:rPr>
              <w:t xml:space="preserve">report on this agenda. </w:t>
            </w:r>
          </w:p>
          <w:p w:rsidR="00A32334" w:rsidRDefault="007F7126">
            <w:pPr>
              <w:pStyle w:val="ParaAttribute7"/>
              <w:rPr>
                <w:rStyle w:val="CharAttribute13"/>
                <w:szCs w:val="24"/>
              </w:rPr>
            </w:pPr>
          </w:p>
          <w:p w:rsidR="00945F43" w:rsidRDefault="00A03E36">
            <w:pPr>
              <w:pStyle w:val="ParaAttribute7"/>
              <w:rPr>
                <w:rStyle w:val="CharAttribute13"/>
                <w:szCs w:val="24"/>
              </w:rPr>
            </w:pPr>
            <w:r>
              <w:rPr>
                <w:rStyle w:val="CharAttribute13"/>
                <w:szCs w:val="24"/>
              </w:rPr>
              <w:t xml:space="preserve">In accordance with the terms of reference of the Growth Deal Management Board </w:t>
            </w:r>
          </w:p>
          <w:p w:rsidR="00945F43" w:rsidRDefault="00A03E36">
            <w:pPr>
              <w:pStyle w:val="ParaAttribute7"/>
              <w:rPr>
                <w:rStyle w:val="CharAttribute13"/>
                <w:szCs w:val="24"/>
              </w:rPr>
            </w:pPr>
            <w:r>
              <w:rPr>
                <w:rStyle w:val="CharAttribute13"/>
                <w:szCs w:val="24"/>
              </w:rPr>
              <w:t>(GDMB) the LEP Board has requested that the actions advised by the</w:t>
            </w:r>
            <w:r w:rsidR="007F5774">
              <w:rPr>
                <w:rStyle w:val="CharAttribute13"/>
                <w:szCs w:val="24"/>
              </w:rPr>
              <w:t xml:space="preserve"> </w:t>
            </w:r>
            <w:r>
              <w:rPr>
                <w:rStyle w:val="CharAttribute13"/>
                <w:szCs w:val="24"/>
              </w:rPr>
              <w:t>independent</w:t>
            </w:r>
            <w:r w:rsidR="007F5774">
              <w:rPr>
                <w:rStyle w:val="CharAttribute13"/>
                <w:szCs w:val="24"/>
              </w:rPr>
              <w:br/>
            </w:r>
            <w:r>
              <w:rPr>
                <w:rStyle w:val="CharAttribute13"/>
                <w:szCs w:val="24"/>
              </w:rPr>
              <w:t>appraisers in relation to each of the three schemes are discharged by the GDMB.</w:t>
            </w:r>
          </w:p>
          <w:p w:rsidR="00945F43" w:rsidRDefault="00945F43">
            <w:pPr>
              <w:pStyle w:val="ParaAttribute7"/>
              <w:rPr>
                <w:rStyle w:val="CharAttribute13"/>
                <w:szCs w:val="24"/>
              </w:rPr>
            </w:pPr>
          </w:p>
          <w:p w:rsidR="00BF5873" w:rsidRDefault="00945F43">
            <w:pPr>
              <w:pStyle w:val="ParaAttribute6"/>
              <w:spacing w:line="249" w:lineRule="auto"/>
              <w:rPr>
                <w:rStyle w:val="CharAttribute12"/>
                <w:szCs w:val="24"/>
              </w:rPr>
            </w:pPr>
            <w:r>
              <w:rPr>
                <w:rStyle w:val="CharAttribute12"/>
                <w:szCs w:val="24"/>
              </w:rPr>
              <w:t>R</w:t>
            </w:r>
            <w:r w:rsidR="00A03E36">
              <w:rPr>
                <w:rStyle w:val="CharAttribute12"/>
                <w:szCs w:val="24"/>
              </w:rPr>
              <w:t>ecommendations</w:t>
            </w:r>
          </w:p>
          <w:p w:rsidR="007F5774" w:rsidRDefault="007F5774" w:rsidP="007F5774">
            <w:pPr>
              <w:pStyle w:val="ParaAttribute7"/>
              <w:rPr>
                <w:rStyle w:val="CharAttribute13"/>
                <w:szCs w:val="24"/>
              </w:rPr>
            </w:pPr>
          </w:p>
          <w:p w:rsidR="007F5774" w:rsidRPr="007F5774" w:rsidRDefault="007F5774" w:rsidP="006A5175">
            <w:pPr>
              <w:pStyle w:val="ParaAttribute7"/>
              <w:numPr>
                <w:ilvl w:val="0"/>
                <w:numId w:val="7"/>
              </w:numPr>
              <w:ind w:left="360"/>
              <w:rPr>
                <w:rStyle w:val="CharAttribute13"/>
                <w:rFonts w:eastAsia="Batang" w:hAnsi="Arial" w:cs="Arial"/>
                <w:szCs w:val="24"/>
              </w:rPr>
            </w:pPr>
            <w:r w:rsidRPr="007F5774">
              <w:rPr>
                <w:rStyle w:val="CharAttribute13"/>
                <w:szCs w:val="24"/>
              </w:rPr>
              <w:t xml:space="preserve">Note the decisions by the LEP Board to grant full approval for </w:t>
            </w:r>
            <w:r w:rsidRPr="007F5774">
              <w:rPr>
                <w:rFonts w:ascii="Arial" w:hAnsi="Arial" w:cs="Arial"/>
                <w:sz w:val="24"/>
                <w:szCs w:val="24"/>
              </w:rPr>
              <w:t>A6 Broughton</w:t>
            </w:r>
            <w:r>
              <w:rPr>
                <w:rFonts w:ascii="Arial" w:hAnsi="Arial" w:cs="Arial"/>
                <w:sz w:val="24"/>
                <w:szCs w:val="24"/>
              </w:rPr>
              <w:br/>
            </w:r>
            <w:r w:rsidRPr="007F5774">
              <w:rPr>
                <w:rFonts w:ascii="Arial" w:hAnsi="Arial" w:cs="Arial"/>
                <w:sz w:val="24"/>
                <w:szCs w:val="24"/>
              </w:rPr>
              <w:t xml:space="preserve">By-pass, Blackpool Integrated Traffic Management and Preston City Centre </w:t>
            </w:r>
            <w:r w:rsidRPr="007F5774">
              <w:rPr>
                <w:rFonts w:ascii="Arial" w:hAnsi="Arial" w:cs="Arial"/>
                <w:sz w:val="24"/>
                <w:szCs w:val="24"/>
              </w:rPr>
              <w:br/>
              <w:t>Improvements</w:t>
            </w:r>
          </w:p>
          <w:p w:rsidR="007F5774" w:rsidRPr="00A370D0" w:rsidRDefault="007F5774" w:rsidP="007F5774">
            <w:pPr>
              <w:tabs>
                <w:tab w:val="left" w:pos="567"/>
              </w:tabs>
              <w:contextualSpacing/>
              <w:jc w:val="left"/>
              <w:rPr>
                <w:rStyle w:val="CharAttribute13"/>
              </w:rPr>
            </w:pPr>
          </w:p>
          <w:p w:rsidR="007F5774" w:rsidRPr="00A32334" w:rsidRDefault="007F5774" w:rsidP="007F5774">
            <w:pPr>
              <w:pStyle w:val="ListParagraph"/>
              <w:numPr>
                <w:ilvl w:val="0"/>
                <w:numId w:val="7"/>
              </w:numPr>
              <w:tabs>
                <w:tab w:val="left" w:pos="567"/>
              </w:tabs>
              <w:ind w:left="360"/>
              <w:contextualSpacing/>
              <w:jc w:val="left"/>
              <w:rPr>
                <w:rStyle w:val="CharAttribute13"/>
              </w:rPr>
            </w:pPr>
            <w:r w:rsidRPr="007F5774">
              <w:rPr>
                <w:rStyle w:val="CharAttribute13"/>
                <w:szCs w:val="24"/>
              </w:rPr>
              <w:t xml:space="preserve">Note the decision made by the LEP Board that the GDMB be required to ensure that conditions relating to the granting of full approval are fully met; </w:t>
            </w:r>
          </w:p>
          <w:p w:rsidR="007F5774" w:rsidRPr="00A32334" w:rsidRDefault="007F5774" w:rsidP="007F5774">
            <w:pPr>
              <w:tabs>
                <w:tab w:val="left" w:pos="567"/>
              </w:tabs>
              <w:contextualSpacing/>
              <w:jc w:val="left"/>
              <w:rPr>
                <w:rStyle w:val="CharAttribute13"/>
                <w:szCs w:val="24"/>
              </w:rPr>
            </w:pPr>
          </w:p>
          <w:p w:rsidR="007F5774" w:rsidRPr="005C5A42" w:rsidRDefault="007F5774" w:rsidP="007F5774">
            <w:pPr>
              <w:pStyle w:val="ListParagraph"/>
              <w:numPr>
                <w:ilvl w:val="0"/>
                <w:numId w:val="7"/>
              </w:numPr>
              <w:tabs>
                <w:tab w:val="left" w:pos="567"/>
              </w:tabs>
              <w:ind w:left="360"/>
              <w:contextualSpacing/>
              <w:jc w:val="left"/>
              <w:rPr>
                <w:rStyle w:val="CharAttribute13"/>
              </w:rPr>
            </w:pPr>
            <w:r w:rsidRPr="007F5774">
              <w:rPr>
                <w:rStyle w:val="CharAttribute13"/>
                <w:szCs w:val="24"/>
              </w:rPr>
              <w:t xml:space="preserve">Note the decision made by the LEP Board that the GDMB be required to ensure that any actions advised by the independent scheme appraisers, are discharged; </w:t>
            </w:r>
          </w:p>
          <w:p w:rsidR="007F5774" w:rsidRDefault="007F5774" w:rsidP="007F5774">
            <w:pPr>
              <w:tabs>
                <w:tab w:val="left" w:pos="567"/>
              </w:tabs>
              <w:contextualSpacing/>
              <w:jc w:val="left"/>
              <w:rPr>
                <w:rStyle w:val="CharAttribute13"/>
              </w:rPr>
            </w:pPr>
          </w:p>
          <w:p w:rsidR="007F5774" w:rsidRPr="007F5774" w:rsidRDefault="007F5774" w:rsidP="00EF328A">
            <w:pPr>
              <w:pStyle w:val="ListParagraph"/>
              <w:numPr>
                <w:ilvl w:val="0"/>
                <w:numId w:val="7"/>
              </w:numPr>
              <w:tabs>
                <w:tab w:val="left" w:pos="567"/>
              </w:tabs>
              <w:spacing w:line="249" w:lineRule="auto"/>
              <w:ind w:left="360"/>
              <w:contextualSpacing/>
              <w:jc w:val="left"/>
              <w:rPr>
                <w:rFonts w:ascii="Arial" w:eastAsia="Arial"/>
                <w:sz w:val="24"/>
                <w:szCs w:val="24"/>
              </w:rPr>
            </w:pPr>
            <w:r w:rsidRPr="007F5774">
              <w:rPr>
                <w:rFonts w:ascii="Arial" w:eastAsia="Arial"/>
                <w:sz w:val="24"/>
              </w:rPr>
              <w:t xml:space="preserve">Request that the Monitoring and Evaluation Sub Group engage with the project sponsors for the three projects to ensure that there is clarity regarding metric collection and outcome evaluation; and </w:t>
            </w:r>
          </w:p>
          <w:p w:rsidR="007F5774" w:rsidRPr="007F5774" w:rsidRDefault="007F5774" w:rsidP="007F5774">
            <w:pPr>
              <w:pStyle w:val="ListParagraph"/>
              <w:rPr>
                <w:rFonts w:ascii="Arial" w:eastAsia="Arial"/>
                <w:sz w:val="24"/>
              </w:rPr>
            </w:pPr>
          </w:p>
          <w:p w:rsidR="007F5774" w:rsidRPr="007F5774" w:rsidRDefault="007F5774" w:rsidP="00EF328A">
            <w:pPr>
              <w:pStyle w:val="ListParagraph"/>
              <w:numPr>
                <w:ilvl w:val="0"/>
                <w:numId w:val="7"/>
              </w:numPr>
              <w:tabs>
                <w:tab w:val="left" w:pos="567"/>
              </w:tabs>
              <w:spacing w:line="249" w:lineRule="auto"/>
              <w:ind w:left="360"/>
              <w:contextualSpacing/>
              <w:jc w:val="left"/>
              <w:rPr>
                <w:rStyle w:val="CharAttribute12"/>
                <w:b w:val="0"/>
                <w:szCs w:val="24"/>
              </w:rPr>
            </w:pPr>
            <w:r w:rsidRPr="007F5774">
              <w:rPr>
                <w:rFonts w:ascii="Arial" w:eastAsia="Arial"/>
                <w:sz w:val="24"/>
              </w:rPr>
              <w:t>Request that LGF Agreements (or equivalent) are prepared for the approved schemes.</w:t>
            </w:r>
          </w:p>
          <w:p w:rsidR="00945F43" w:rsidRPr="00945F43" w:rsidRDefault="00945F43" w:rsidP="00945F43">
            <w:pPr>
              <w:tabs>
                <w:tab w:val="left" w:pos="567"/>
              </w:tabs>
              <w:ind w:left="360"/>
              <w:contextualSpacing/>
              <w:jc w:val="left"/>
              <w:rPr>
                <w:rFonts w:ascii="Arial" w:eastAsia="Arial"/>
                <w:sz w:val="24"/>
              </w:rPr>
            </w:pPr>
          </w:p>
        </w:tc>
      </w:tr>
    </w:tbl>
    <w:p w:rsidR="007F5774" w:rsidRDefault="007F5774">
      <w:pPr>
        <w:pStyle w:val="ParaAttribute16"/>
        <w:spacing w:line="249" w:lineRule="auto"/>
        <w:rPr>
          <w:rStyle w:val="CharAttribute3"/>
          <w:szCs w:val="24"/>
        </w:rPr>
      </w:pPr>
    </w:p>
    <w:p w:rsidR="000A1D51" w:rsidRDefault="00A03E36">
      <w:pPr>
        <w:pStyle w:val="ParaAttribute16"/>
        <w:spacing w:line="249" w:lineRule="auto"/>
        <w:rPr>
          <w:rStyle w:val="CharAttribute3"/>
          <w:szCs w:val="24"/>
        </w:rPr>
      </w:pPr>
      <w:r>
        <w:rPr>
          <w:rStyle w:val="CharAttribute3"/>
          <w:szCs w:val="24"/>
        </w:rPr>
        <w:lastRenderedPageBreak/>
        <w:t xml:space="preserve">Background and Advice </w:t>
      </w:r>
    </w:p>
    <w:p w:rsidR="000A1D51" w:rsidRPr="000A1D51" w:rsidRDefault="000A1D51">
      <w:pPr>
        <w:pStyle w:val="ParaAttribute16"/>
        <w:spacing w:line="249" w:lineRule="auto"/>
        <w:rPr>
          <w:rFonts w:ascii="Arial" w:eastAsia="Calibri"/>
          <w:b/>
          <w:sz w:val="24"/>
          <w:szCs w:val="24"/>
        </w:rPr>
      </w:pPr>
    </w:p>
    <w:p w:rsidR="00945F43" w:rsidRPr="00945F43" w:rsidRDefault="00A03E36">
      <w:pPr>
        <w:pStyle w:val="ListParagraph"/>
        <w:numPr>
          <w:ilvl w:val="1"/>
          <w:numId w:val="2"/>
        </w:numPr>
        <w:tabs>
          <w:tab w:val="left" w:pos="709"/>
        </w:tabs>
        <w:jc w:val="left"/>
        <w:rPr>
          <w:rStyle w:val="CharAttribute13"/>
          <w:rFonts w:hAnsi="Arial"/>
          <w:sz w:val="20"/>
        </w:rPr>
      </w:pPr>
      <w:r>
        <w:rPr>
          <w:rStyle w:val="CharAttribute13"/>
          <w:szCs w:val="24"/>
        </w:rPr>
        <w:t xml:space="preserve">In accordance with the </w:t>
      </w:r>
      <w:r>
        <w:rPr>
          <w:rStyle w:val="CharAttribute22"/>
          <w:szCs w:val="24"/>
        </w:rPr>
        <w:t>LEP</w:t>
      </w:r>
      <w:r>
        <w:rPr>
          <w:rStyle w:val="CharAttribute13"/>
          <w:szCs w:val="24"/>
        </w:rPr>
        <w:t>’</w:t>
      </w:r>
      <w:r>
        <w:rPr>
          <w:rStyle w:val="CharAttribute13"/>
          <w:szCs w:val="24"/>
        </w:rPr>
        <w:t xml:space="preserve">s Assurance Framework proportionate business </w:t>
      </w:r>
      <w:r>
        <w:rPr>
          <w:rStyle w:val="CharAttribute13"/>
          <w:szCs w:val="24"/>
        </w:rPr>
        <w:tab/>
        <w:t xml:space="preserve">cases for all Growth Deal projects must be submitted by the project </w:t>
      </w:r>
      <w:r>
        <w:rPr>
          <w:rStyle w:val="CharAttribute13"/>
          <w:szCs w:val="24"/>
        </w:rPr>
        <w:tab/>
        <w:t xml:space="preserve">sponsor with these business cases, in turn, subject to an independent assessment, prior to a final investment decision by the </w:t>
      </w:r>
      <w:r>
        <w:rPr>
          <w:rStyle w:val="CharAttribute22"/>
          <w:szCs w:val="24"/>
        </w:rPr>
        <w:t>LEP</w:t>
      </w:r>
      <w:r>
        <w:rPr>
          <w:rStyle w:val="CharAttribute13"/>
          <w:szCs w:val="24"/>
        </w:rPr>
        <w:t xml:space="preserve"> Board.</w:t>
      </w:r>
    </w:p>
    <w:p w:rsidR="00945F43" w:rsidRDefault="00945F43" w:rsidP="00945F43">
      <w:pPr>
        <w:tabs>
          <w:tab w:val="left" w:pos="709"/>
        </w:tabs>
        <w:jc w:val="left"/>
        <w:rPr>
          <w:rStyle w:val="CharAttribute13"/>
          <w:szCs w:val="24"/>
        </w:rPr>
      </w:pPr>
    </w:p>
    <w:p w:rsidR="005C5A42" w:rsidRPr="00945F43" w:rsidRDefault="00A03E36" w:rsidP="000A1D51">
      <w:pPr>
        <w:pStyle w:val="ListParagraph"/>
        <w:numPr>
          <w:ilvl w:val="1"/>
          <w:numId w:val="2"/>
        </w:numPr>
        <w:tabs>
          <w:tab w:val="left" w:pos="709"/>
        </w:tabs>
        <w:jc w:val="left"/>
        <w:rPr>
          <w:rStyle w:val="CharAttribute13"/>
          <w:rFonts w:hAnsi="Arial"/>
          <w:szCs w:val="24"/>
        </w:rPr>
      </w:pPr>
      <w:r w:rsidRPr="000A1D51">
        <w:rPr>
          <w:rStyle w:val="CharAttribute13"/>
          <w:szCs w:val="24"/>
        </w:rPr>
        <w:t>Three Growth Deal schemes</w:t>
      </w:r>
      <w:r w:rsidR="000A1D51" w:rsidRPr="000A1D51">
        <w:rPr>
          <w:rStyle w:val="CharAttribute13"/>
          <w:szCs w:val="24"/>
        </w:rPr>
        <w:t xml:space="preserve">: </w:t>
      </w:r>
      <w:r w:rsidR="000A1D51" w:rsidRPr="000A1D51">
        <w:rPr>
          <w:rFonts w:ascii="Arial" w:hAnsi="Arial" w:cs="Arial"/>
          <w:sz w:val="24"/>
          <w:szCs w:val="24"/>
        </w:rPr>
        <w:t xml:space="preserve">A6 Broughton Bypass, </w:t>
      </w:r>
      <w:proofErr w:type="spellStart"/>
      <w:r w:rsidR="000A1D51" w:rsidRPr="000A1D51">
        <w:rPr>
          <w:rFonts w:ascii="Arial" w:hAnsi="Arial" w:cs="Arial"/>
          <w:sz w:val="24"/>
          <w:szCs w:val="24"/>
        </w:rPr>
        <w:t>Blackpool</w:t>
      </w:r>
      <w:proofErr w:type="spellEnd"/>
      <w:r w:rsidR="000A1D51" w:rsidRPr="000A1D51">
        <w:rPr>
          <w:rFonts w:ascii="Arial" w:hAnsi="Arial" w:cs="Arial"/>
          <w:sz w:val="24"/>
          <w:szCs w:val="24"/>
        </w:rPr>
        <w:t xml:space="preserve"> Integrated Traffic Management</w:t>
      </w:r>
      <w:r w:rsidR="007F5774">
        <w:rPr>
          <w:rFonts w:ascii="Arial" w:hAnsi="Arial" w:cs="Arial"/>
          <w:sz w:val="24"/>
          <w:szCs w:val="24"/>
        </w:rPr>
        <w:t xml:space="preserve"> and</w:t>
      </w:r>
      <w:r w:rsidR="000A1D51" w:rsidRPr="000A1D51">
        <w:rPr>
          <w:rFonts w:ascii="Arial" w:hAnsi="Arial" w:cs="Arial"/>
          <w:sz w:val="24"/>
          <w:szCs w:val="24"/>
        </w:rPr>
        <w:t xml:space="preserve"> Preston City Centre Improvements </w:t>
      </w:r>
      <w:r w:rsidRPr="000A1D51">
        <w:rPr>
          <w:rStyle w:val="CharAttribute13"/>
          <w:szCs w:val="24"/>
        </w:rPr>
        <w:t>were considered and received full approval by the LEP Board at its meeting on 6</w:t>
      </w:r>
      <w:r w:rsidRPr="000A1D51">
        <w:rPr>
          <w:rStyle w:val="CharAttribute13"/>
          <w:szCs w:val="24"/>
          <w:vertAlign w:val="superscript"/>
        </w:rPr>
        <w:t>th</w:t>
      </w:r>
      <w:r w:rsidRPr="000A1D51">
        <w:rPr>
          <w:rStyle w:val="CharAttribute13"/>
          <w:szCs w:val="24"/>
        </w:rPr>
        <w:t xml:space="preserve"> October.  The GDMB is required to ensure that a range of conditions are met and actions discharged in relation to the three schemes and these are set out below. </w:t>
      </w:r>
    </w:p>
    <w:p w:rsidR="00945F43" w:rsidRPr="00945F43" w:rsidRDefault="00945F43" w:rsidP="00945F43">
      <w:pPr>
        <w:pStyle w:val="ListParagraph"/>
        <w:ind w:left="0"/>
        <w:rPr>
          <w:rStyle w:val="CharAttribute13"/>
          <w:rFonts w:hAnsi="Arial"/>
          <w:szCs w:val="24"/>
        </w:rPr>
      </w:pPr>
    </w:p>
    <w:p w:rsidR="00BF5873" w:rsidRDefault="00A03E36" w:rsidP="000F6353">
      <w:pPr>
        <w:pStyle w:val="ParaAttribute7"/>
        <w:rPr>
          <w:rStyle w:val="CharAttribute17"/>
          <w:szCs w:val="24"/>
        </w:rPr>
      </w:pPr>
      <w:r>
        <w:rPr>
          <w:rStyle w:val="CharAttribute13"/>
          <w:szCs w:val="24"/>
        </w:rPr>
        <w:t>2.</w:t>
      </w:r>
      <w:r>
        <w:rPr>
          <w:rStyle w:val="CharAttribute13"/>
          <w:szCs w:val="24"/>
        </w:rPr>
        <w:tab/>
      </w:r>
      <w:r>
        <w:rPr>
          <w:rStyle w:val="CharAttribute17"/>
          <w:szCs w:val="24"/>
        </w:rPr>
        <w:t xml:space="preserve">A6 </w:t>
      </w:r>
      <w:r w:rsidR="000A1D51">
        <w:rPr>
          <w:rStyle w:val="CharAttribute17"/>
          <w:szCs w:val="24"/>
        </w:rPr>
        <w:t xml:space="preserve">Broughton </w:t>
      </w:r>
      <w:r>
        <w:rPr>
          <w:rStyle w:val="CharAttribute17"/>
          <w:szCs w:val="24"/>
        </w:rPr>
        <w:t xml:space="preserve">Bypass </w:t>
      </w:r>
      <w:r>
        <w:rPr>
          <w:rStyle w:val="CharAttribute17"/>
          <w:szCs w:val="24"/>
        </w:rPr>
        <w:t>–</w:t>
      </w:r>
      <w:r>
        <w:rPr>
          <w:rStyle w:val="CharAttribute17"/>
          <w:szCs w:val="24"/>
        </w:rPr>
        <w:t xml:space="preserve"> Full Approval Application</w:t>
      </w:r>
    </w:p>
    <w:p w:rsidR="00945F43" w:rsidRDefault="00945F43" w:rsidP="000F6353">
      <w:pPr>
        <w:pStyle w:val="ParaAttribute7"/>
        <w:rPr>
          <w:rStyle w:val="CharAttribute17"/>
          <w:szCs w:val="24"/>
        </w:rPr>
      </w:pPr>
    </w:p>
    <w:p w:rsidR="005C5A42" w:rsidRPr="000A1D51" w:rsidRDefault="00A03E36" w:rsidP="000A1D51">
      <w:pPr>
        <w:pStyle w:val="NoSpacing"/>
        <w:ind w:left="720" w:hanging="720"/>
        <w:rPr>
          <w:rFonts w:ascii="Arial" w:eastAsia="Calibri"/>
          <w:sz w:val="24"/>
          <w:szCs w:val="24"/>
        </w:rPr>
      </w:pPr>
      <w:r>
        <w:rPr>
          <w:rStyle w:val="CharAttribute1"/>
          <w:szCs w:val="24"/>
        </w:rPr>
        <w:t>2.1</w:t>
      </w:r>
      <w:r>
        <w:rPr>
          <w:rStyle w:val="CharAttribute1"/>
          <w:szCs w:val="24"/>
        </w:rPr>
        <w:tab/>
      </w:r>
      <w:r w:rsidRPr="00A370D0">
        <w:rPr>
          <w:rFonts w:ascii="Arial" w:hAnsi="Arial" w:cs="Arial"/>
          <w:sz w:val="24"/>
          <w:szCs w:val="24"/>
        </w:rPr>
        <w:t>The A6 Broughton Bypass is a long-standi</w:t>
      </w:r>
      <w:r>
        <w:rPr>
          <w:rFonts w:ascii="Arial" w:hAnsi="Arial" w:cs="Arial"/>
          <w:sz w:val="24"/>
          <w:szCs w:val="24"/>
        </w:rPr>
        <w:t>ng proposal promoted by Lancashire County Council, the Growth Deal project sponsor, and is</w:t>
      </w:r>
      <w:r w:rsidRPr="00A370D0">
        <w:rPr>
          <w:rFonts w:ascii="Arial" w:hAnsi="Arial" w:cs="Arial"/>
          <w:sz w:val="24"/>
          <w:szCs w:val="24"/>
        </w:rPr>
        <w:t xml:space="preserve"> one of four major highway improvements planned for delivery thr</w:t>
      </w:r>
      <w:r>
        <w:rPr>
          <w:rFonts w:ascii="Arial" w:hAnsi="Arial" w:cs="Arial"/>
          <w:sz w:val="24"/>
          <w:szCs w:val="24"/>
        </w:rPr>
        <w:t xml:space="preserve">ough the Preston, South </w:t>
      </w:r>
      <w:proofErr w:type="spellStart"/>
      <w:r>
        <w:rPr>
          <w:rFonts w:ascii="Arial" w:hAnsi="Arial" w:cs="Arial"/>
          <w:sz w:val="24"/>
          <w:szCs w:val="24"/>
        </w:rPr>
        <w:t>Ribble</w:t>
      </w:r>
      <w:proofErr w:type="spellEnd"/>
      <w:r>
        <w:rPr>
          <w:rFonts w:ascii="Arial" w:hAnsi="Arial" w:cs="Arial"/>
          <w:sz w:val="24"/>
          <w:szCs w:val="24"/>
        </w:rPr>
        <w:t xml:space="preserve"> </w:t>
      </w:r>
      <w:r w:rsidRPr="00A370D0">
        <w:rPr>
          <w:rFonts w:ascii="Arial" w:hAnsi="Arial" w:cs="Arial"/>
          <w:sz w:val="24"/>
          <w:szCs w:val="24"/>
        </w:rPr>
        <w:t>and Lancashire City Deal agreed with the Government in September</w:t>
      </w:r>
      <w:r>
        <w:rPr>
          <w:rFonts w:ascii="Arial" w:hAnsi="Arial" w:cs="Arial"/>
          <w:sz w:val="24"/>
          <w:szCs w:val="24"/>
        </w:rPr>
        <w:t xml:space="preserve"> 2013. </w:t>
      </w:r>
      <w:r w:rsidRPr="00A370D0">
        <w:rPr>
          <w:rFonts w:ascii="Arial" w:hAnsi="Arial" w:cs="Arial"/>
          <w:sz w:val="24"/>
          <w:szCs w:val="24"/>
        </w:rPr>
        <w:t>The bypass will remove through traffic, re</w:t>
      </w:r>
      <w:r>
        <w:rPr>
          <w:rFonts w:ascii="Arial" w:hAnsi="Arial" w:cs="Arial"/>
          <w:sz w:val="24"/>
          <w:szCs w:val="24"/>
        </w:rPr>
        <w:t xml:space="preserve">duce congestion, significantly </w:t>
      </w:r>
      <w:r w:rsidRPr="00A370D0">
        <w:rPr>
          <w:rFonts w:ascii="Arial" w:hAnsi="Arial" w:cs="Arial"/>
          <w:sz w:val="24"/>
          <w:szCs w:val="24"/>
        </w:rPr>
        <w:t>improve t</w:t>
      </w:r>
      <w:r>
        <w:rPr>
          <w:rFonts w:ascii="Arial" w:hAnsi="Arial" w:cs="Arial"/>
          <w:sz w:val="24"/>
          <w:szCs w:val="24"/>
        </w:rPr>
        <w:t xml:space="preserve">he local environment </w:t>
      </w:r>
      <w:r w:rsidRPr="00A370D0">
        <w:rPr>
          <w:rFonts w:ascii="Arial" w:hAnsi="Arial" w:cs="Arial"/>
          <w:sz w:val="24"/>
          <w:szCs w:val="24"/>
        </w:rPr>
        <w:t>and provide suffi</w:t>
      </w:r>
      <w:r>
        <w:rPr>
          <w:rFonts w:ascii="Arial" w:hAnsi="Arial" w:cs="Arial"/>
          <w:sz w:val="24"/>
          <w:szCs w:val="24"/>
        </w:rPr>
        <w:t xml:space="preserve">cient capacity to enable </w:t>
      </w:r>
      <w:r w:rsidRPr="00A370D0">
        <w:rPr>
          <w:rFonts w:ascii="Arial" w:hAnsi="Arial" w:cs="Arial"/>
          <w:sz w:val="24"/>
          <w:szCs w:val="24"/>
        </w:rPr>
        <w:t>new housing and employment development</w:t>
      </w:r>
      <w:r>
        <w:rPr>
          <w:rFonts w:ascii="Arial" w:hAnsi="Arial" w:cs="Arial"/>
          <w:sz w:val="24"/>
          <w:szCs w:val="24"/>
        </w:rPr>
        <w:t xml:space="preserve"> to come forward. </w:t>
      </w:r>
    </w:p>
    <w:p w:rsidR="00A370D0" w:rsidRDefault="007F7126" w:rsidP="00A370D0">
      <w:pPr>
        <w:pStyle w:val="NoSpacing"/>
        <w:ind w:left="720" w:hanging="720"/>
        <w:rPr>
          <w:rFonts w:ascii="Arial" w:hAnsi="Arial" w:cs="Arial"/>
          <w:sz w:val="24"/>
          <w:szCs w:val="24"/>
        </w:rPr>
      </w:pPr>
    </w:p>
    <w:p w:rsidR="00A370D0" w:rsidRDefault="00A03E36" w:rsidP="00A370D0">
      <w:pPr>
        <w:pStyle w:val="NoSpacing"/>
        <w:ind w:left="720" w:hanging="720"/>
        <w:rPr>
          <w:rStyle w:val="CharAttribute1"/>
        </w:rPr>
      </w:pPr>
      <w:r>
        <w:rPr>
          <w:rFonts w:ascii="Arial" w:hAnsi="Arial" w:cs="Arial"/>
          <w:sz w:val="24"/>
          <w:szCs w:val="24"/>
        </w:rPr>
        <w:t>2.2</w:t>
      </w:r>
      <w:r>
        <w:rPr>
          <w:rFonts w:ascii="Arial" w:hAnsi="Arial" w:cs="Arial"/>
          <w:sz w:val="24"/>
          <w:szCs w:val="24"/>
        </w:rPr>
        <w:tab/>
      </w:r>
      <w:r>
        <w:rPr>
          <w:rStyle w:val="CharAttribute1"/>
          <w:szCs w:val="24"/>
        </w:rPr>
        <w:t xml:space="preserve">The total cost of </w:t>
      </w:r>
      <w:r>
        <w:rPr>
          <w:rStyle w:val="CharAttribute1"/>
          <w:szCs w:val="24"/>
        </w:rPr>
        <w:t>£</w:t>
      </w:r>
      <w:r>
        <w:rPr>
          <w:rStyle w:val="CharAttribute1"/>
          <w:szCs w:val="24"/>
        </w:rPr>
        <w:t xml:space="preserve">24.3m includes a </w:t>
      </w:r>
      <w:r>
        <w:rPr>
          <w:rStyle w:val="CharAttribute1"/>
          <w:szCs w:val="24"/>
        </w:rPr>
        <w:t>£</w:t>
      </w:r>
      <w:r>
        <w:rPr>
          <w:rStyle w:val="CharAttribute1"/>
          <w:szCs w:val="24"/>
        </w:rPr>
        <w:t xml:space="preserve">15.5m contribution from the Local Growth Fund (LGF) through the Lancashire Growth Deal, of which </w:t>
      </w:r>
      <w:r>
        <w:rPr>
          <w:rStyle w:val="CharAttribute1"/>
          <w:szCs w:val="24"/>
        </w:rPr>
        <w:t>£</w:t>
      </w:r>
      <w:r>
        <w:rPr>
          <w:rStyle w:val="CharAttribute1"/>
          <w:szCs w:val="24"/>
        </w:rPr>
        <w:t xml:space="preserve">8.8m is committed Local Transport Body funding in 2016/17 and </w:t>
      </w:r>
      <w:r>
        <w:rPr>
          <w:rStyle w:val="CharAttribute1"/>
          <w:szCs w:val="24"/>
        </w:rPr>
        <w:t>£</w:t>
      </w:r>
      <w:r>
        <w:rPr>
          <w:rStyle w:val="CharAttribute1"/>
          <w:szCs w:val="24"/>
        </w:rPr>
        <w:t xml:space="preserve">6.7m an indicative allocation in 2016/17 from the competitive element of the </w:t>
      </w:r>
      <w:r>
        <w:rPr>
          <w:rStyle w:val="CharAttribute23"/>
          <w:szCs w:val="24"/>
        </w:rPr>
        <w:t>LGF</w:t>
      </w:r>
      <w:r>
        <w:rPr>
          <w:rStyle w:val="CharAttribute1"/>
          <w:szCs w:val="24"/>
        </w:rPr>
        <w:t>. The project sponsor</w:t>
      </w:r>
      <w:r>
        <w:rPr>
          <w:rStyle w:val="CharAttribute1"/>
          <w:szCs w:val="24"/>
        </w:rPr>
        <w:t>’</w:t>
      </w:r>
      <w:r>
        <w:rPr>
          <w:rStyle w:val="CharAttribute1"/>
          <w:szCs w:val="24"/>
        </w:rPr>
        <w:t xml:space="preserve">s Section 151 Officer has confirmed that the </w:t>
      </w:r>
      <w:r>
        <w:rPr>
          <w:rStyle w:val="CharAttribute1"/>
          <w:szCs w:val="24"/>
        </w:rPr>
        <w:t>£</w:t>
      </w:r>
      <w:r>
        <w:rPr>
          <w:rStyle w:val="CharAttribute1"/>
          <w:szCs w:val="24"/>
        </w:rPr>
        <w:t>8.8m local contribution will be met through the City Deal Infrastructure Delivery Fund along with any subsequent cost increase above the level of grant already agreed.</w:t>
      </w:r>
    </w:p>
    <w:p w:rsidR="00A370D0" w:rsidRDefault="007F7126" w:rsidP="00A370D0">
      <w:pPr>
        <w:pStyle w:val="NoSpacing"/>
        <w:ind w:left="720" w:hanging="720"/>
        <w:rPr>
          <w:rStyle w:val="CharAttribute1"/>
        </w:rPr>
      </w:pPr>
    </w:p>
    <w:p w:rsidR="00BF5873" w:rsidRPr="00A370D0" w:rsidRDefault="00A03E36" w:rsidP="00A370D0">
      <w:pPr>
        <w:pStyle w:val="NoSpacing"/>
        <w:ind w:left="720" w:hanging="720"/>
        <w:rPr>
          <w:rFonts w:ascii="Arial" w:hAnsi="Arial" w:cs="Arial"/>
          <w:sz w:val="24"/>
          <w:szCs w:val="24"/>
        </w:rPr>
      </w:pPr>
      <w:r>
        <w:rPr>
          <w:rStyle w:val="CharAttribute1"/>
          <w:szCs w:val="24"/>
        </w:rPr>
        <w:t>2.3</w:t>
      </w:r>
      <w:r>
        <w:rPr>
          <w:rStyle w:val="CharAttribute1"/>
          <w:szCs w:val="24"/>
        </w:rPr>
        <w:tab/>
        <w:t xml:space="preserve">The scheme is predicted to deliver very high value for money, with a benefit to cost ratio of 5.8 with the potential to generate an additional </w:t>
      </w:r>
      <w:r>
        <w:rPr>
          <w:rStyle w:val="CharAttribute1"/>
          <w:szCs w:val="24"/>
        </w:rPr>
        <w:t>£</w:t>
      </w:r>
      <w:r>
        <w:rPr>
          <w:rStyle w:val="CharAttribute1"/>
          <w:szCs w:val="24"/>
        </w:rPr>
        <w:t xml:space="preserve">153m of </w:t>
      </w:r>
      <w:r>
        <w:rPr>
          <w:rStyle w:val="CharAttribute23"/>
          <w:szCs w:val="24"/>
        </w:rPr>
        <w:t>GVA</w:t>
      </w:r>
      <w:r>
        <w:rPr>
          <w:rStyle w:val="CharAttribute1"/>
          <w:szCs w:val="24"/>
        </w:rPr>
        <w:t xml:space="preserve"> benefits. The business case has confirmed that the scheme can deliver 650 (direct) and 4740 (indirect) housing units and create 750 jobs. These outputs are in line with the initial expression of interest which was used when the </w:t>
      </w:r>
      <w:r>
        <w:rPr>
          <w:rStyle w:val="CharAttribute23"/>
          <w:szCs w:val="24"/>
        </w:rPr>
        <w:t>LEP</w:t>
      </w:r>
      <w:r>
        <w:rPr>
          <w:rStyle w:val="CharAttribute1"/>
          <w:szCs w:val="24"/>
        </w:rPr>
        <w:t xml:space="preserve"> undertook the initial Growth Deal </w:t>
      </w:r>
      <w:proofErr w:type="spellStart"/>
      <w:r>
        <w:rPr>
          <w:rStyle w:val="CharAttribute23"/>
          <w:szCs w:val="24"/>
        </w:rPr>
        <w:t>prioritisation</w:t>
      </w:r>
      <w:proofErr w:type="spellEnd"/>
      <w:r>
        <w:rPr>
          <w:rStyle w:val="CharAttribute1"/>
          <w:szCs w:val="24"/>
        </w:rPr>
        <w:t xml:space="preserve"> process in 2014. </w:t>
      </w:r>
    </w:p>
    <w:p w:rsidR="00BF5873" w:rsidRDefault="00BF5873">
      <w:pPr>
        <w:pStyle w:val="ParaAttribute18"/>
        <w:rPr>
          <w:rFonts w:ascii="Arial" w:eastAsia="Calibri" w:hAnsi="Arial"/>
        </w:rPr>
      </w:pPr>
    </w:p>
    <w:p w:rsidR="00BF5873" w:rsidRDefault="00A03E36" w:rsidP="00945F43">
      <w:pPr>
        <w:pStyle w:val="ParaAttribute19"/>
        <w:rPr>
          <w:rStyle w:val="CharAttribute1"/>
          <w:szCs w:val="24"/>
        </w:rPr>
      </w:pPr>
      <w:r>
        <w:rPr>
          <w:rStyle w:val="CharAttribute1"/>
          <w:szCs w:val="24"/>
        </w:rPr>
        <w:t>2.4</w:t>
      </w:r>
      <w:r>
        <w:rPr>
          <w:rStyle w:val="CharAttribute1"/>
          <w:szCs w:val="24"/>
        </w:rPr>
        <w:tab/>
        <w:t>Atkins undertook the independent scrutiny of the Full Business Case and</w:t>
      </w:r>
      <w:r w:rsidR="00945F43">
        <w:rPr>
          <w:rStyle w:val="CharAttribute1"/>
          <w:szCs w:val="24"/>
        </w:rPr>
        <w:br/>
      </w:r>
      <w:r>
        <w:rPr>
          <w:rStyle w:val="CharAttribute1"/>
          <w:szCs w:val="24"/>
        </w:rPr>
        <w:t xml:space="preserve">recommended that Full Approval be granted, conditional on a preferred </w:t>
      </w:r>
      <w:proofErr w:type="spellStart"/>
      <w:r>
        <w:rPr>
          <w:rStyle w:val="CharAttribute1"/>
          <w:szCs w:val="24"/>
        </w:rPr>
        <w:t>bidderwith</w:t>
      </w:r>
      <w:proofErr w:type="spellEnd"/>
      <w:r>
        <w:rPr>
          <w:rStyle w:val="CharAttribute1"/>
          <w:szCs w:val="24"/>
        </w:rPr>
        <w:t xml:space="preserve"> firm and final prices being selected. The project sponsor has since</w:t>
      </w:r>
      <w:r w:rsidR="00945F43">
        <w:rPr>
          <w:rStyle w:val="CharAttribute1"/>
          <w:szCs w:val="24"/>
        </w:rPr>
        <w:br/>
      </w:r>
      <w:r>
        <w:rPr>
          <w:rStyle w:val="CharAttribute1"/>
          <w:szCs w:val="24"/>
        </w:rPr>
        <w:t xml:space="preserve">provided reassurance that based on an 'initial assessment' of tender returns, </w:t>
      </w:r>
      <w:r w:rsidR="00945F43">
        <w:rPr>
          <w:rStyle w:val="CharAttribute1"/>
          <w:szCs w:val="24"/>
        </w:rPr>
        <w:br/>
        <w:t>co</w:t>
      </w:r>
      <w:r>
        <w:rPr>
          <w:rStyle w:val="CharAttribute1"/>
          <w:szCs w:val="24"/>
        </w:rPr>
        <w:t>st estimates closely align with its own October 2014 cost estimate.</w:t>
      </w:r>
    </w:p>
    <w:p w:rsidR="007F5774" w:rsidRDefault="007F5774" w:rsidP="00945F43">
      <w:pPr>
        <w:pStyle w:val="ParaAttribute19"/>
        <w:rPr>
          <w:rStyle w:val="CharAttribute1"/>
          <w:szCs w:val="24"/>
        </w:rPr>
      </w:pPr>
    </w:p>
    <w:p w:rsidR="00BF5873" w:rsidRDefault="00A03E36">
      <w:pPr>
        <w:pStyle w:val="ParaAttribute19"/>
        <w:rPr>
          <w:rFonts w:ascii="Arial" w:eastAsia="Calibri" w:hAnsi="Arial"/>
        </w:rPr>
      </w:pPr>
      <w:r>
        <w:rPr>
          <w:rStyle w:val="CharAttribute1"/>
          <w:szCs w:val="24"/>
        </w:rPr>
        <w:t>2.5</w:t>
      </w:r>
      <w:r>
        <w:rPr>
          <w:rStyle w:val="CharAttribute1"/>
          <w:szCs w:val="24"/>
        </w:rPr>
        <w:tab/>
        <w:t xml:space="preserve">In accordance with the LEP's Assurance Framework, business cases for        schemes seeking over </w:t>
      </w:r>
      <w:r>
        <w:rPr>
          <w:rStyle w:val="CharAttribute1"/>
          <w:szCs w:val="24"/>
        </w:rPr>
        <w:t>£</w:t>
      </w:r>
      <w:r>
        <w:rPr>
          <w:rStyle w:val="CharAttribute1"/>
          <w:szCs w:val="24"/>
        </w:rPr>
        <w:t xml:space="preserve">5M LGF, are required to be published </w:t>
      </w:r>
      <w:r w:rsidR="00484122">
        <w:rPr>
          <w:rStyle w:val="CharAttribute1"/>
          <w:szCs w:val="24"/>
        </w:rPr>
        <w:t>f</w:t>
      </w:r>
      <w:r>
        <w:rPr>
          <w:rStyle w:val="CharAttribute1"/>
          <w:szCs w:val="24"/>
        </w:rPr>
        <w:t>or a six week</w:t>
      </w:r>
      <w:r w:rsidR="00484122">
        <w:rPr>
          <w:rStyle w:val="CharAttribute1"/>
          <w:szCs w:val="24"/>
        </w:rPr>
        <w:br/>
      </w:r>
      <w:r>
        <w:rPr>
          <w:rStyle w:val="CharAttribute1"/>
          <w:szCs w:val="24"/>
        </w:rPr>
        <w:t>period. This period will end on the 30</w:t>
      </w:r>
      <w:r w:rsidRPr="00A309C9">
        <w:rPr>
          <w:rStyle w:val="CharAttribute1"/>
          <w:szCs w:val="24"/>
          <w:vertAlign w:val="superscript"/>
        </w:rPr>
        <w:t>th</w:t>
      </w:r>
      <w:r>
        <w:rPr>
          <w:rStyle w:val="CharAttribute1"/>
          <w:szCs w:val="24"/>
        </w:rPr>
        <w:t xml:space="preserve"> October, following which, and subject</w:t>
      </w:r>
      <w:r w:rsidR="00484122">
        <w:rPr>
          <w:rStyle w:val="CharAttribute1"/>
          <w:szCs w:val="24"/>
        </w:rPr>
        <w:br/>
      </w:r>
      <w:r>
        <w:rPr>
          <w:rStyle w:val="CharAttribute1"/>
          <w:szCs w:val="24"/>
        </w:rPr>
        <w:t xml:space="preserve">to no material issues being raised, the LEP Board approval can </w:t>
      </w:r>
      <w:r w:rsidR="00484122">
        <w:rPr>
          <w:rStyle w:val="CharAttribute1"/>
          <w:szCs w:val="24"/>
        </w:rPr>
        <w:br/>
      </w:r>
      <w:r>
        <w:rPr>
          <w:rStyle w:val="CharAttribute1"/>
          <w:szCs w:val="24"/>
        </w:rPr>
        <w:t xml:space="preserve">be implemented.  All comments lodged will be forwarded to Atkins for              </w:t>
      </w:r>
      <w:r>
        <w:rPr>
          <w:rStyle w:val="CharAttribute1"/>
          <w:szCs w:val="24"/>
        </w:rPr>
        <w:lastRenderedPageBreak/>
        <w:t>independent assessment as to whether they amount to a material                   consideration. Any comments that Atkins conclude are material will be            brought to the GDMB to determine an appropriate course of action.</w:t>
      </w:r>
    </w:p>
    <w:p w:rsidR="00BF5873" w:rsidRDefault="00BF5873">
      <w:pPr>
        <w:pStyle w:val="ParaAttribute18"/>
        <w:rPr>
          <w:rFonts w:ascii="Arial" w:eastAsia="Calibri" w:hAnsi="Arial"/>
        </w:rPr>
      </w:pPr>
    </w:p>
    <w:p w:rsidR="00BF5873" w:rsidRPr="000F6353" w:rsidRDefault="00A03E36" w:rsidP="000F6353">
      <w:pPr>
        <w:pStyle w:val="ParaAttribute7"/>
        <w:rPr>
          <w:rFonts w:ascii="Arial" w:eastAsia="Arial" w:hAnsi="Arial"/>
        </w:rPr>
      </w:pPr>
      <w:r>
        <w:rPr>
          <w:rStyle w:val="CharAttribute17"/>
          <w:szCs w:val="24"/>
        </w:rPr>
        <w:t>3.</w:t>
      </w:r>
      <w:r>
        <w:rPr>
          <w:rStyle w:val="CharAttribute13"/>
          <w:szCs w:val="24"/>
        </w:rPr>
        <w:tab/>
      </w:r>
      <w:r>
        <w:rPr>
          <w:rStyle w:val="CharAttribute17"/>
          <w:szCs w:val="24"/>
        </w:rPr>
        <w:t xml:space="preserve">Blackpool Integrated Traffic Management </w:t>
      </w:r>
      <w:r>
        <w:rPr>
          <w:rStyle w:val="CharAttribute17"/>
          <w:szCs w:val="24"/>
        </w:rPr>
        <w:t>–</w:t>
      </w:r>
      <w:r>
        <w:rPr>
          <w:rStyle w:val="CharAttribute17"/>
          <w:szCs w:val="24"/>
        </w:rPr>
        <w:t xml:space="preserve"> Full Approval Application</w:t>
      </w:r>
    </w:p>
    <w:p w:rsidR="000A1D51" w:rsidRDefault="000A1D51" w:rsidP="00A370D0">
      <w:pPr>
        <w:pStyle w:val="NoSpacing"/>
        <w:ind w:left="720" w:hanging="720"/>
        <w:rPr>
          <w:rStyle w:val="CharAttribute1"/>
          <w:szCs w:val="24"/>
        </w:rPr>
      </w:pPr>
    </w:p>
    <w:p w:rsidR="00A309C9" w:rsidRDefault="00A03E36" w:rsidP="00A370D0">
      <w:pPr>
        <w:pStyle w:val="NoSpacing"/>
        <w:ind w:left="720" w:hanging="720"/>
        <w:rPr>
          <w:rStyle w:val="CharAttribute1"/>
          <w:szCs w:val="24"/>
        </w:rPr>
      </w:pPr>
      <w:r>
        <w:rPr>
          <w:rStyle w:val="CharAttribute1"/>
          <w:szCs w:val="24"/>
        </w:rPr>
        <w:t xml:space="preserve">3.1    This project seeks to improve traffic and event management in </w:t>
      </w:r>
      <w:proofErr w:type="spellStart"/>
      <w:r>
        <w:rPr>
          <w:rStyle w:val="CharAttribute1"/>
          <w:szCs w:val="24"/>
        </w:rPr>
        <w:t>Blackpool</w:t>
      </w:r>
      <w:proofErr w:type="spellEnd"/>
      <w:r>
        <w:rPr>
          <w:rStyle w:val="CharAttribute1"/>
          <w:szCs w:val="24"/>
        </w:rPr>
        <w:t xml:space="preserve">. A   strong visitor economy is vital to the renewal of </w:t>
      </w:r>
      <w:proofErr w:type="spellStart"/>
      <w:r>
        <w:rPr>
          <w:rStyle w:val="CharAttribute1"/>
          <w:szCs w:val="24"/>
        </w:rPr>
        <w:t>Blackpool</w:t>
      </w:r>
      <w:proofErr w:type="spellEnd"/>
      <w:r>
        <w:rPr>
          <w:rStyle w:val="CharAttribute1"/>
          <w:szCs w:val="24"/>
        </w:rPr>
        <w:t>, which is key objective of Lancashire</w:t>
      </w:r>
      <w:r>
        <w:rPr>
          <w:rStyle w:val="CharAttribute1"/>
          <w:szCs w:val="24"/>
        </w:rPr>
        <w:t>’</w:t>
      </w:r>
      <w:r>
        <w:rPr>
          <w:rStyle w:val="CharAttribute1"/>
          <w:szCs w:val="24"/>
        </w:rPr>
        <w:t xml:space="preserve">s Growth Deal. Improved traffic and event management will contribute positively to the overall visitor experience in </w:t>
      </w:r>
      <w:proofErr w:type="spellStart"/>
      <w:r>
        <w:rPr>
          <w:rStyle w:val="CharAttribute1"/>
          <w:szCs w:val="24"/>
        </w:rPr>
        <w:t>Blackpool</w:t>
      </w:r>
      <w:proofErr w:type="spellEnd"/>
      <w:r>
        <w:rPr>
          <w:rStyle w:val="CharAttribute1"/>
          <w:szCs w:val="24"/>
        </w:rPr>
        <w:t xml:space="preserve">. </w:t>
      </w:r>
    </w:p>
    <w:p w:rsidR="00A370D0" w:rsidRDefault="007F7126" w:rsidP="00A370D0">
      <w:pPr>
        <w:pStyle w:val="NoSpacing"/>
        <w:ind w:left="720" w:hanging="720"/>
        <w:rPr>
          <w:rStyle w:val="CharAttribute1"/>
        </w:rPr>
      </w:pPr>
    </w:p>
    <w:p w:rsidR="00A370D0" w:rsidRDefault="00A03E36" w:rsidP="00A370D0">
      <w:pPr>
        <w:pStyle w:val="NoSpacing"/>
        <w:ind w:left="720" w:hanging="720"/>
        <w:rPr>
          <w:rStyle w:val="CharAttribute1"/>
        </w:rPr>
      </w:pPr>
      <w:r>
        <w:rPr>
          <w:rStyle w:val="CharAttribute1"/>
          <w:szCs w:val="24"/>
        </w:rPr>
        <w:t>3.2</w:t>
      </w:r>
      <w:r>
        <w:rPr>
          <w:rStyle w:val="CharAttribute1"/>
          <w:szCs w:val="24"/>
        </w:rPr>
        <w:tab/>
        <w:t xml:space="preserve">The scheme has an estimated capital cost of </w:t>
      </w:r>
      <w:r>
        <w:rPr>
          <w:rStyle w:val="CharAttribute1"/>
          <w:szCs w:val="24"/>
        </w:rPr>
        <w:t>£</w:t>
      </w:r>
      <w:r>
        <w:rPr>
          <w:rStyle w:val="CharAttribute1"/>
          <w:szCs w:val="24"/>
        </w:rPr>
        <w:t xml:space="preserve">2.16m with </w:t>
      </w:r>
      <w:r>
        <w:rPr>
          <w:rStyle w:val="CharAttribute1"/>
          <w:szCs w:val="24"/>
        </w:rPr>
        <w:t>£</w:t>
      </w:r>
      <w:r>
        <w:rPr>
          <w:rStyle w:val="CharAttribute1"/>
          <w:szCs w:val="24"/>
        </w:rPr>
        <w:t xml:space="preserve">1.51m LGF sought. A letter from </w:t>
      </w:r>
      <w:proofErr w:type="spellStart"/>
      <w:r>
        <w:rPr>
          <w:rStyle w:val="CharAttribute1"/>
          <w:szCs w:val="24"/>
        </w:rPr>
        <w:t>Blackpool</w:t>
      </w:r>
      <w:proofErr w:type="spellEnd"/>
      <w:r>
        <w:rPr>
          <w:rStyle w:val="CharAttribute1"/>
          <w:szCs w:val="24"/>
        </w:rPr>
        <w:t xml:space="preserve"> Council</w:t>
      </w:r>
      <w:r>
        <w:rPr>
          <w:rStyle w:val="CharAttribute1"/>
          <w:szCs w:val="24"/>
        </w:rPr>
        <w:t>’</w:t>
      </w:r>
      <w:r>
        <w:rPr>
          <w:rStyle w:val="CharAttribute1"/>
          <w:szCs w:val="24"/>
        </w:rPr>
        <w:t xml:space="preserve">s Section 151 Officer has been provided which confirms the above funding arrangements and the allocation of sufficient budgets. </w:t>
      </w:r>
    </w:p>
    <w:p w:rsidR="00A370D0" w:rsidRDefault="007F7126" w:rsidP="00A370D0">
      <w:pPr>
        <w:pStyle w:val="NoSpacing"/>
        <w:ind w:left="720" w:hanging="720"/>
        <w:rPr>
          <w:rStyle w:val="CharAttribute1"/>
        </w:rPr>
      </w:pPr>
    </w:p>
    <w:p w:rsidR="00A370D0" w:rsidRDefault="00A03E36" w:rsidP="00A370D0">
      <w:pPr>
        <w:pStyle w:val="NoSpacing"/>
        <w:ind w:left="720" w:hanging="720"/>
        <w:rPr>
          <w:rStyle w:val="CharAttribute1"/>
        </w:rPr>
      </w:pPr>
      <w:r>
        <w:rPr>
          <w:rStyle w:val="CharAttribute1"/>
          <w:szCs w:val="24"/>
        </w:rPr>
        <w:t>3.3</w:t>
      </w:r>
      <w:r>
        <w:rPr>
          <w:rStyle w:val="CharAttribute1"/>
          <w:szCs w:val="24"/>
        </w:rPr>
        <w:tab/>
        <w:t xml:space="preserve">If GVA benefits are included the scheme is expected to deliver high value for money with a benefit to cost ratio of 2.38. However, if the GVA benefits are excluded the benefit to cost ratio falls to 1.09 which would represent low value for money. There are estimated to be GVA uplift benefits of </w:t>
      </w:r>
      <w:r>
        <w:rPr>
          <w:rStyle w:val="CharAttribute1"/>
          <w:szCs w:val="24"/>
        </w:rPr>
        <w:t>£</w:t>
      </w:r>
      <w:r>
        <w:rPr>
          <w:rStyle w:val="CharAttribute1"/>
          <w:szCs w:val="24"/>
        </w:rPr>
        <w:t xml:space="preserve">8.1m with the scheme leading to 34 direct and indirect jobs being supported. These outputs are in line with the initial expression of interest which was used when the LEP undertook the initial Growth Deal </w:t>
      </w:r>
      <w:proofErr w:type="spellStart"/>
      <w:r>
        <w:rPr>
          <w:rStyle w:val="CharAttribute1"/>
          <w:szCs w:val="24"/>
        </w:rPr>
        <w:t>prioritisation</w:t>
      </w:r>
      <w:proofErr w:type="spellEnd"/>
      <w:r>
        <w:rPr>
          <w:rStyle w:val="CharAttribute1"/>
          <w:szCs w:val="24"/>
        </w:rPr>
        <w:t xml:space="preserve"> process in 2014.</w:t>
      </w:r>
    </w:p>
    <w:p w:rsidR="00A370D0" w:rsidRDefault="007F7126" w:rsidP="00A370D0">
      <w:pPr>
        <w:pStyle w:val="NoSpacing"/>
        <w:ind w:left="720" w:hanging="720"/>
        <w:rPr>
          <w:rStyle w:val="CharAttribute1"/>
        </w:rPr>
      </w:pPr>
    </w:p>
    <w:p w:rsidR="00A370D0" w:rsidRDefault="00A03E36" w:rsidP="00A370D0">
      <w:pPr>
        <w:pStyle w:val="NoSpacing"/>
        <w:ind w:left="720" w:hanging="720"/>
        <w:rPr>
          <w:rStyle w:val="CharAttribute1"/>
        </w:rPr>
      </w:pPr>
      <w:r>
        <w:rPr>
          <w:rStyle w:val="CharAttribute1"/>
          <w:szCs w:val="24"/>
        </w:rPr>
        <w:t>3.4</w:t>
      </w:r>
      <w:r>
        <w:rPr>
          <w:rStyle w:val="CharAttribute1"/>
          <w:szCs w:val="24"/>
        </w:rPr>
        <w:tab/>
        <w:t>Jacobs undertook the independent scrutiny of the Full Business Case. They have confirmed that a suitable business case has been presented and meets the requirements of the LEP</w:t>
      </w:r>
      <w:r>
        <w:rPr>
          <w:rStyle w:val="CharAttribute1"/>
          <w:szCs w:val="24"/>
        </w:rPr>
        <w:t>’</w:t>
      </w:r>
      <w:r>
        <w:rPr>
          <w:rStyle w:val="CharAttribute1"/>
          <w:szCs w:val="24"/>
        </w:rPr>
        <w:t>s Accountability Framework to fund schemes which represent high value for money, if the GVA benefits are included in the benefit to cost ratio calculation.</w:t>
      </w:r>
    </w:p>
    <w:p w:rsidR="00A370D0" w:rsidRDefault="007F7126" w:rsidP="00A370D0">
      <w:pPr>
        <w:pStyle w:val="NoSpacing"/>
        <w:ind w:left="720" w:hanging="720"/>
        <w:rPr>
          <w:rStyle w:val="CharAttribute1"/>
        </w:rPr>
      </w:pPr>
    </w:p>
    <w:p w:rsidR="00BF5873" w:rsidRPr="00A370D0" w:rsidRDefault="00A03E36" w:rsidP="00A370D0">
      <w:pPr>
        <w:pStyle w:val="NoSpacing"/>
        <w:ind w:left="720" w:hanging="720"/>
        <w:rPr>
          <w:rFonts w:hAnsi="Arial"/>
        </w:rPr>
      </w:pPr>
      <w:r>
        <w:rPr>
          <w:rStyle w:val="CharAttribute1"/>
          <w:szCs w:val="24"/>
        </w:rPr>
        <w:t>3.5</w:t>
      </w:r>
      <w:r>
        <w:rPr>
          <w:rStyle w:val="CharAttribute1"/>
          <w:szCs w:val="24"/>
        </w:rPr>
        <w:tab/>
        <w:t>The value for money issue was discussed at the LEP Board at its meeting on 6</w:t>
      </w:r>
      <w:r w:rsidRPr="00861574">
        <w:rPr>
          <w:rStyle w:val="CharAttribute1"/>
          <w:szCs w:val="24"/>
          <w:vertAlign w:val="superscript"/>
        </w:rPr>
        <w:t>th</w:t>
      </w:r>
      <w:r>
        <w:rPr>
          <w:rStyle w:val="CharAttribute1"/>
          <w:szCs w:val="24"/>
        </w:rPr>
        <w:t xml:space="preserve"> October. Given a procurement exercise has not yet been undertaken the LEP Board agreed that the results of sensitivity tests should be used to inform the level of risk surrounding the scheme</w:t>
      </w:r>
      <w:r>
        <w:rPr>
          <w:rStyle w:val="CharAttribute1"/>
          <w:szCs w:val="24"/>
        </w:rPr>
        <w:t>’</w:t>
      </w:r>
      <w:r>
        <w:rPr>
          <w:rStyle w:val="CharAttribute1"/>
          <w:szCs w:val="24"/>
        </w:rPr>
        <w:t xml:space="preserve">s value for money and consequently inform the decision on whether or not the scheme should move forward to implementation stage. The LEP Board agreed that a condition of Full Approval being granted is that the tender costs come back as expected. The GDMB are required to oversee the discharge of this condition and report back to the LEP Board if this condition is not met. </w:t>
      </w:r>
    </w:p>
    <w:p w:rsidR="00BF5873" w:rsidRDefault="00BF5873">
      <w:pPr>
        <w:pStyle w:val="ParaAttribute18"/>
        <w:rPr>
          <w:rFonts w:ascii="Arial" w:eastAsia="Calibri" w:hAnsi="Arial"/>
        </w:rPr>
      </w:pPr>
    </w:p>
    <w:p w:rsidR="00BF5873" w:rsidRPr="007F5774" w:rsidRDefault="00A03E36">
      <w:pPr>
        <w:pStyle w:val="ParaAttribute18"/>
        <w:rPr>
          <w:rFonts w:ascii="Arial" w:eastAsia="Calibri" w:hAnsi="Arial" w:cs="Arial"/>
          <w:sz w:val="24"/>
          <w:szCs w:val="24"/>
        </w:rPr>
      </w:pPr>
      <w:r w:rsidRPr="007F5774">
        <w:rPr>
          <w:rStyle w:val="CharAttribute3"/>
          <w:rFonts w:hAnsi="Arial" w:cs="Arial"/>
          <w:szCs w:val="24"/>
        </w:rPr>
        <w:t>4.</w:t>
      </w:r>
      <w:r w:rsidRPr="007F5774">
        <w:rPr>
          <w:rStyle w:val="CharAttribute1"/>
          <w:rFonts w:hAnsi="Arial" w:cs="Arial"/>
          <w:szCs w:val="24"/>
        </w:rPr>
        <w:tab/>
      </w:r>
      <w:r w:rsidRPr="007F5774">
        <w:rPr>
          <w:rStyle w:val="CharAttribute1"/>
          <w:rFonts w:hAnsi="Arial" w:cs="Arial"/>
          <w:szCs w:val="24"/>
        </w:rPr>
        <w:tab/>
      </w:r>
      <w:r w:rsidR="000A1D51" w:rsidRPr="007F5774">
        <w:rPr>
          <w:rFonts w:ascii="Arial" w:hAnsi="Arial" w:cs="Arial"/>
          <w:b/>
          <w:sz w:val="24"/>
          <w:szCs w:val="24"/>
        </w:rPr>
        <w:t>Preston City Centre Improvements</w:t>
      </w:r>
      <w:r w:rsidRPr="007F5774">
        <w:rPr>
          <w:rStyle w:val="CharAttribute3"/>
          <w:rFonts w:hAnsi="Arial" w:cs="Arial"/>
          <w:szCs w:val="24"/>
        </w:rPr>
        <w:t xml:space="preserve"> – Full Approval Application</w:t>
      </w:r>
      <w:r w:rsidRPr="007F5774">
        <w:rPr>
          <w:rStyle w:val="CharAttribute1"/>
          <w:rFonts w:hAnsi="Arial" w:cs="Arial"/>
          <w:szCs w:val="24"/>
        </w:rPr>
        <w:t xml:space="preserve"> </w:t>
      </w:r>
    </w:p>
    <w:p w:rsidR="000A1D51" w:rsidRDefault="000A1D51" w:rsidP="00A370D0">
      <w:pPr>
        <w:pStyle w:val="NoSpacing"/>
        <w:rPr>
          <w:rStyle w:val="CharAttribute13"/>
          <w:szCs w:val="24"/>
        </w:rPr>
      </w:pPr>
    </w:p>
    <w:p w:rsidR="00861574" w:rsidRDefault="00A03E36" w:rsidP="00A370D0">
      <w:pPr>
        <w:pStyle w:val="NoSpacing"/>
        <w:rPr>
          <w:rStyle w:val="CharAttribute13"/>
          <w:szCs w:val="24"/>
        </w:rPr>
      </w:pPr>
      <w:r>
        <w:rPr>
          <w:rStyle w:val="CharAttribute13"/>
          <w:szCs w:val="24"/>
        </w:rPr>
        <w:t>4.1</w:t>
      </w:r>
      <w:r>
        <w:rPr>
          <w:rStyle w:val="CharAttribute13"/>
          <w:szCs w:val="24"/>
        </w:rPr>
        <w:tab/>
        <w:t xml:space="preserve">This scheme, building on a phase 1 scheme which is already completed, </w:t>
      </w:r>
      <w:r>
        <w:rPr>
          <w:rStyle w:val="CharAttribute13"/>
          <w:szCs w:val="24"/>
        </w:rPr>
        <w:tab/>
      </w:r>
      <w:r>
        <w:rPr>
          <w:rStyle w:val="CharAttribute13"/>
          <w:szCs w:val="24"/>
        </w:rPr>
        <w:tab/>
        <w:t xml:space="preserve">seeks to deliver large scale public realm improvements in Preston City </w:t>
      </w:r>
      <w:r>
        <w:rPr>
          <w:rStyle w:val="CharAttribute13"/>
          <w:szCs w:val="24"/>
        </w:rPr>
        <w:tab/>
        <w:t xml:space="preserve">Centre. The Growth Deal project sponsor is Lancashire County Council. </w:t>
      </w:r>
    </w:p>
    <w:p w:rsidR="00A370D0" w:rsidRDefault="007F7126" w:rsidP="00A370D0">
      <w:pPr>
        <w:pStyle w:val="NoSpacing"/>
        <w:rPr>
          <w:rFonts w:ascii="Arial" w:eastAsia="Arial" w:hAnsi="Arial"/>
          <w:kern w:val="0"/>
          <w:lang w:val="en-GB" w:eastAsia="en-GB"/>
        </w:rPr>
      </w:pPr>
    </w:p>
    <w:p w:rsidR="00861574" w:rsidRDefault="00A03E36" w:rsidP="00A370D0">
      <w:pPr>
        <w:pStyle w:val="NoSpacing"/>
        <w:rPr>
          <w:rStyle w:val="CharAttribute1"/>
          <w:szCs w:val="24"/>
        </w:rPr>
      </w:pPr>
      <w:r w:rsidRPr="00A370D0">
        <w:rPr>
          <w:rFonts w:ascii="Arial" w:eastAsia="Arial" w:hAnsi="Arial"/>
          <w:kern w:val="0"/>
          <w:sz w:val="24"/>
          <w:szCs w:val="24"/>
          <w:lang w:val="en-GB" w:eastAsia="en-GB"/>
        </w:rPr>
        <w:t>4.2</w:t>
      </w:r>
      <w:r>
        <w:rPr>
          <w:rFonts w:ascii="Arial" w:eastAsia="Arial" w:hAnsi="Arial"/>
          <w:kern w:val="0"/>
          <w:lang w:val="en-GB" w:eastAsia="en-GB"/>
        </w:rPr>
        <w:tab/>
      </w:r>
      <w:r>
        <w:rPr>
          <w:rStyle w:val="CharAttribute1"/>
          <w:szCs w:val="24"/>
        </w:rPr>
        <w:t xml:space="preserve">The scheme has a capital cost of </w:t>
      </w:r>
      <w:r>
        <w:rPr>
          <w:rStyle w:val="CharAttribute1"/>
          <w:szCs w:val="24"/>
        </w:rPr>
        <w:t>£</w:t>
      </w:r>
      <w:r>
        <w:rPr>
          <w:rStyle w:val="CharAttribute1"/>
          <w:szCs w:val="24"/>
        </w:rPr>
        <w:t xml:space="preserve">7m with </w:t>
      </w:r>
      <w:r>
        <w:rPr>
          <w:rStyle w:val="CharAttribute1"/>
          <w:szCs w:val="24"/>
        </w:rPr>
        <w:t>£</w:t>
      </w:r>
      <w:r>
        <w:rPr>
          <w:rStyle w:val="CharAttribute1"/>
          <w:szCs w:val="24"/>
        </w:rPr>
        <w:t xml:space="preserve">6m LGF sought. A letter from </w:t>
      </w:r>
      <w:r>
        <w:rPr>
          <w:rStyle w:val="CharAttribute1"/>
          <w:szCs w:val="24"/>
        </w:rPr>
        <w:tab/>
        <w:t xml:space="preserve">Lancashire County </w:t>
      </w:r>
      <w:r>
        <w:rPr>
          <w:rStyle w:val="CharAttribute1"/>
          <w:szCs w:val="24"/>
        </w:rPr>
        <w:tab/>
        <w:t>Council</w:t>
      </w:r>
      <w:r>
        <w:rPr>
          <w:rStyle w:val="CharAttribute1"/>
          <w:szCs w:val="24"/>
        </w:rPr>
        <w:t>’</w:t>
      </w:r>
      <w:r>
        <w:rPr>
          <w:rStyle w:val="CharAttribute1"/>
          <w:szCs w:val="24"/>
        </w:rPr>
        <w:t xml:space="preserve">s Section 151 Officer has been provided which </w:t>
      </w:r>
      <w:r>
        <w:rPr>
          <w:rStyle w:val="CharAttribute1"/>
          <w:szCs w:val="24"/>
        </w:rPr>
        <w:tab/>
        <w:t xml:space="preserve">confirms the above </w:t>
      </w:r>
      <w:r>
        <w:rPr>
          <w:rStyle w:val="CharAttribute1"/>
          <w:szCs w:val="24"/>
        </w:rPr>
        <w:tab/>
        <w:t xml:space="preserve">funding arrangements and the allocation of sufficient </w:t>
      </w:r>
      <w:r>
        <w:rPr>
          <w:rStyle w:val="CharAttribute1"/>
          <w:szCs w:val="24"/>
        </w:rPr>
        <w:tab/>
        <w:t xml:space="preserve">budgets. </w:t>
      </w:r>
    </w:p>
    <w:p w:rsidR="00A370D0" w:rsidRDefault="007F7126" w:rsidP="00A370D0">
      <w:pPr>
        <w:pStyle w:val="NoSpacing"/>
        <w:rPr>
          <w:rFonts w:hAnsi="Arial"/>
        </w:rPr>
      </w:pPr>
    </w:p>
    <w:p w:rsidR="00BF5873" w:rsidRDefault="00A03E36" w:rsidP="00A370D0">
      <w:pPr>
        <w:pStyle w:val="NoSpacing"/>
        <w:rPr>
          <w:rFonts w:hAnsi="Arial"/>
        </w:rPr>
      </w:pPr>
      <w:r w:rsidRPr="00A370D0">
        <w:rPr>
          <w:rFonts w:ascii="Arial" w:hAnsi="Arial" w:cs="Arial"/>
          <w:sz w:val="24"/>
          <w:szCs w:val="24"/>
        </w:rPr>
        <w:lastRenderedPageBreak/>
        <w:t>4.3</w:t>
      </w:r>
      <w:r w:rsidRPr="00A370D0">
        <w:rPr>
          <w:rFonts w:ascii="Arial" w:hAnsi="Arial" w:cs="Arial"/>
          <w:sz w:val="24"/>
          <w:szCs w:val="24"/>
        </w:rPr>
        <w:tab/>
      </w:r>
      <w:r>
        <w:rPr>
          <w:rStyle w:val="CharAttribute1"/>
          <w:szCs w:val="24"/>
        </w:rPr>
        <w:t xml:space="preserve">The scheme is expected to deliver good value for money and lead to the </w:t>
      </w:r>
      <w:r>
        <w:rPr>
          <w:rStyle w:val="CharAttribute1"/>
          <w:szCs w:val="24"/>
        </w:rPr>
        <w:tab/>
        <w:t xml:space="preserve">creation of 716 new jobs and generate </w:t>
      </w:r>
      <w:r>
        <w:rPr>
          <w:rStyle w:val="CharAttribute1"/>
          <w:szCs w:val="24"/>
        </w:rPr>
        <w:t>£</w:t>
      </w:r>
      <w:r>
        <w:rPr>
          <w:rStyle w:val="CharAttribute1"/>
          <w:szCs w:val="24"/>
        </w:rPr>
        <w:t xml:space="preserve">39.8m of GVA per annum. These </w:t>
      </w:r>
      <w:r>
        <w:rPr>
          <w:rStyle w:val="CharAttribute1"/>
          <w:szCs w:val="24"/>
        </w:rPr>
        <w:tab/>
        <w:t xml:space="preserve">outputs are in line with the </w:t>
      </w:r>
      <w:r>
        <w:rPr>
          <w:rStyle w:val="CharAttribute1"/>
          <w:szCs w:val="24"/>
        </w:rPr>
        <w:tab/>
        <w:t xml:space="preserve">initial expression of interest which was used when </w:t>
      </w:r>
      <w:r>
        <w:rPr>
          <w:rStyle w:val="CharAttribute1"/>
          <w:szCs w:val="24"/>
        </w:rPr>
        <w:tab/>
        <w:t xml:space="preserve">the LEP undertook the initial Growth Deal </w:t>
      </w:r>
      <w:proofErr w:type="spellStart"/>
      <w:r>
        <w:rPr>
          <w:rStyle w:val="CharAttribute1"/>
          <w:szCs w:val="24"/>
        </w:rPr>
        <w:t>prioritisation</w:t>
      </w:r>
      <w:proofErr w:type="spellEnd"/>
      <w:r>
        <w:rPr>
          <w:rStyle w:val="CharAttribute1"/>
          <w:szCs w:val="24"/>
        </w:rPr>
        <w:t xml:space="preserve"> process in 2014</w:t>
      </w:r>
    </w:p>
    <w:p w:rsidR="00BF5873" w:rsidRDefault="00BF5873">
      <w:pPr>
        <w:pStyle w:val="ParaAttribute21"/>
        <w:rPr>
          <w:rFonts w:ascii="Arial" w:eastAsia="Arial" w:hAnsi="Arial"/>
        </w:rPr>
      </w:pPr>
    </w:p>
    <w:p w:rsidR="000F6353" w:rsidRDefault="00A03E36" w:rsidP="001974BB">
      <w:pPr>
        <w:pStyle w:val="NoSpacing"/>
        <w:rPr>
          <w:rStyle w:val="CharAttribute13"/>
          <w:szCs w:val="24"/>
        </w:rPr>
      </w:pPr>
      <w:r>
        <w:rPr>
          <w:rStyle w:val="CharAttribute13"/>
          <w:szCs w:val="24"/>
        </w:rPr>
        <w:t>4.4</w:t>
      </w:r>
      <w:r>
        <w:rPr>
          <w:rStyle w:val="CharAttribute13"/>
          <w:szCs w:val="24"/>
        </w:rPr>
        <w:tab/>
      </w:r>
      <w:proofErr w:type="spellStart"/>
      <w:r>
        <w:rPr>
          <w:rStyle w:val="CharAttribute13"/>
          <w:szCs w:val="24"/>
        </w:rPr>
        <w:t>Regeneris</w:t>
      </w:r>
      <w:proofErr w:type="spellEnd"/>
      <w:r>
        <w:rPr>
          <w:rStyle w:val="CharAttribute13"/>
          <w:szCs w:val="24"/>
        </w:rPr>
        <w:t xml:space="preserve"> Consulting undertook the independent scrutiny of the Full </w:t>
      </w:r>
      <w:r>
        <w:rPr>
          <w:rStyle w:val="CharAttribute13"/>
          <w:szCs w:val="24"/>
        </w:rPr>
        <w:tab/>
        <w:t xml:space="preserve">Business Case for the scheme and recommended that Full Approval be </w:t>
      </w:r>
      <w:r>
        <w:rPr>
          <w:rStyle w:val="CharAttribute13"/>
          <w:szCs w:val="24"/>
        </w:rPr>
        <w:tab/>
        <w:t xml:space="preserve">granted subject to an operational risk register being provided. The GDMB are </w:t>
      </w:r>
      <w:r>
        <w:rPr>
          <w:rStyle w:val="CharAttribute13"/>
          <w:szCs w:val="24"/>
        </w:rPr>
        <w:tab/>
        <w:t xml:space="preserve">required to ensure that this action is undertaken. </w:t>
      </w:r>
    </w:p>
    <w:p w:rsidR="000F6353" w:rsidRDefault="007F7126" w:rsidP="001974BB">
      <w:pPr>
        <w:pStyle w:val="NoSpacing"/>
        <w:rPr>
          <w:rStyle w:val="CharAttribute13"/>
          <w:szCs w:val="24"/>
        </w:rPr>
      </w:pPr>
    </w:p>
    <w:p w:rsidR="000F6353" w:rsidRDefault="00A03E36" w:rsidP="007F7126">
      <w:pPr>
        <w:pStyle w:val="NoSpacing"/>
        <w:ind w:left="720" w:hanging="720"/>
        <w:rPr>
          <w:rStyle w:val="CharAttribute1"/>
          <w:szCs w:val="24"/>
        </w:rPr>
      </w:pPr>
      <w:r>
        <w:rPr>
          <w:rStyle w:val="CharAttribute13"/>
          <w:szCs w:val="24"/>
        </w:rPr>
        <w:t>4.7</w:t>
      </w:r>
      <w:r>
        <w:rPr>
          <w:rFonts w:hAnsi="Arial"/>
        </w:rPr>
        <w:t xml:space="preserve"> </w:t>
      </w:r>
      <w:r>
        <w:rPr>
          <w:rFonts w:hAnsi="Arial"/>
        </w:rPr>
        <w:tab/>
      </w:r>
      <w:r>
        <w:rPr>
          <w:rStyle w:val="CharAttribute1"/>
          <w:szCs w:val="24"/>
        </w:rPr>
        <w:t xml:space="preserve">In accordance with the LEP's Assurance Framework, business cases for        schemes seeking over </w:t>
      </w:r>
      <w:r>
        <w:rPr>
          <w:rStyle w:val="CharAttribute1"/>
          <w:szCs w:val="24"/>
        </w:rPr>
        <w:t>£</w:t>
      </w:r>
      <w:r>
        <w:rPr>
          <w:rStyle w:val="CharAttribute1"/>
          <w:szCs w:val="24"/>
        </w:rPr>
        <w:t>5M LGF, are required to be published for a six week</w:t>
      </w:r>
      <w:r w:rsidR="007F7126">
        <w:rPr>
          <w:rStyle w:val="CharAttribute1"/>
          <w:szCs w:val="24"/>
        </w:rPr>
        <w:br/>
      </w:r>
      <w:r>
        <w:rPr>
          <w:rStyle w:val="CharAttribute1"/>
          <w:szCs w:val="24"/>
        </w:rPr>
        <w:t>period. This period will end on the 13</w:t>
      </w:r>
      <w:r w:rsidRPr="00A309C9">
        <w:rPr>
          <w:rStyle w:val="CharAttribute1"/>
          <w:szCs w:val="24"/>
          <w:vertAlign w:val="superscript"/>
        </w:rPr>
        <w:t>th</w:t>
      </w:r>
      <w:r>
        <w:rPr>
          <w:rStyle w:val="CharAttribute1"/>
          <w:szCs w:val="24"/>
        </w:rPr>
        <w:t xml:space="preserve"> November, following which,   and subject to no material issues being raised, the LEP Board approval can</w:t>
      </w:r>
      <w:r w:rsidR="007F7126">
        <w:rPr>
          <w:rStyle w:val="CharAttribute1"/>
          <w:szCs w:val="24"/>
        </w:rPr>
        <w:t xml:space="preserve"> b</w:t>
      </w:r>
      <w:r>
        <w:rPr>
          <w:rStyle w:val="CharAttribute1"/>
          <w:szCs w:val="24"/>
        </w:rPr>
        <w:t xml:space="preserve">e </w:t>
      </w:r>
      <w:r w:rsidR="007F7126">
        <w:rPr>
          <w:rStyle w:val="CharAttribute1"/>
          <w:szCs w:val="24"/>
        </w:rPr>
        <w:t>i</w:t>
      </w:r>
      <w:r>
        <w:rPr>
          <w:rStyle w:val="CharAttribute1"/>
          <w:szCs w:val="24"/>
        </w:rPr>
        <w:t xml:space="preserve">mplemented.  All comments lodged will be forwarded to </w:t>
      </w:r>
      <w:proofErr w:type="spellStart"/>
      <w:r>
        <w:rPr>
          <w:rStyle w:val="CharAttribute1"/>
          <w:szCs w:val="24"/>
        </w:rPr>
        <w:t>Regeneris</w:t>
      </w:r>
      <w:proofErr w:type="spellEnd"/>
      <w:r>
        <w:rPr>
          <w:rStyle w:val="CharAttribute1"/>
          <w:szCs w:val="24"/>
        </w:rPr>
        <w:t xml:space="preserve"> for</w:t>
      </w:r>
      <w:r w:rsidR="007F7126">
        <w:rPr>
          <w:rStyle w:val="CharAttribute1"/>
          <w:szCs w:val="24"/>
        </w:rPr>
        <w:t xml:space="preserve"> i</w:t>
      </w:r>
      <w:r>
        <w:rPr>
          <w:rStyle w:val="CharAttribute1"/>
          <w:szCs w:val="24"/>
        </w:rPr>
        <w:t xml:space="preserve">ndependent assessment as to whether they amount to a material consideration. Any comments that </w:t>
      </w:r>
      <w:proofErr w:type="spellStart"/>
      <w:r>
        <w:rPr>
          <w:rStyle w:val="CharAttribute1"/>
          <w:szCs w:val="24"/>
        </w:rPr>
        <w:t>Regeneris</w:t>
      </w:r>
      <w:proofErr w:type="spellEnd"/>
      <w:r>
        <w:rPr>
          <w:rStyle w:val="CharAttribute1"/>
          <w:szCs w:val="24"/>
        </w:rPr>
        <w:t xml:space="preserve"> conclude are material will be </w:t>
      </w:r>
      <w:r w:rsidR="007F7126">
        <w:rPr>
          <w:rStyle w:val="CharAttribute1"/>
          <w:szCs w:val="24"/>
        </w:rPr>
        <w:t>b</w:t>
      </w:r>
      <w:r>
        <w:rPr>
          <w:rStyle w:val="CharAttribute1"/>
          <w:szCs w:val="24"/>
        </w:rPr>
        <w:t>rought to the GDMB to determine an appropriate course of action.</w:t>
      </w:r>
    </w:p>
    <w:p w:rsidR="000F6353" w:rsidRDefault="007F7126" w:rsidP="000F6353">
      <w:pPr>
        <w:pStyle w:val="NoSpacing"/>
        <w:rPr>
          <w:rStyle w:val="CharAttribute1"/>
          <w:szCs w:val="24"/>
        </w:rPr>
      </w:pPr>
    </w:p>
    <w:p w:rsidR="001974BB" w:rsidRPr="00840223" w:rsidRDefault="00A03E36" w:rsidP="00840223">
      <w:pPr>
        <w:pStyle w:val="NoSpacing"/>
        <w:rPr>
          <w:rFonts w:hAnsi="Arial"/>
          <w:b/>
        </w:rPr>
      </w:pPr>
      <w:r w:rsidRPr="007F5774">
        <w:rPr>
          <w:rStyle w:val="CharAttribute1"/>
          <w:b/>
          <w:szCs w:val="24"/>
        </w:rPr>
        <w:t>5</w:t>
      </w:r>
      <w:r>
        <w:rPr>
          <w:rStyle w:val="CharAttribute1"/>
          <w:szCs w:val="24"/>
        </w:rPr>
        <w:t>.</w:t>
      </w:r>
      <w:r>
        <w:rPr>
          <w:rStyle w:val="CharAttribute1"/>
          <w:szCs w:val="24"/>
        </w:rPr>
        <w:tab/>
      </w:r>
      <w:r w:rsidRPr="000F6353">
        <w:rPr>
          <w:rStyle w:val="CharAttribute1"/>
          <w:b/>
          <w:szCs w:val="24"/>
        </w:rPr>
        <w:t xml:space="preserve">Monitoring and Evaluation </w:t>
      </w:r>
    </w:p>
    <w:p w:rsidR="000A1D51" w:rsidRDefault="000A1D51">
      <w:pPr>
        <w:pStyle w:val="ParaAttribute18"/>
        <w:rPr>
          <w:rStyle w:val="CharAttribute3"/>
          <w:b w:val="0"/>
          <w:szCs w:val="24"/>
        </w:rPr>
      </w:pPr>
    </w:p>
    <w:p w:rsidR="000F6353" w:rsidRDefault="00A03E36">
      <w:pPr>
        <w:pStyle w:val="ParaAttribute18"/>
        <w:rPr>
          <w:rStyle w:val="CharAttribute3"/>
          <w:b w:val="0"/>
          <w:szCs w:val="24"/>
        </w:rPr>
      </w:pPr>
      <w:r w:rsidRPr="000F6353">
        <w:rPr>
          <w:rStyle w:val="CharAttribute3"/>
          <w:b w:val="0"/>
          <w:szCs w:val="24"/>
        </w:rPr>
        <w:t>5.1</w:t>
      </w:r>
      <w:r>
        <w:rPr>
          <w:rStyle w:val="CharAttribute3"/>
          <w:szCs w:val="24"/>
        </w:rPr>
        <w:tab/>
      </w:r>
      <w:r>
        <w:rPr>
          <w:rStyle w:val="CharAttribute3"/>
          <w:szCs w:val="24"/>
        </w:rPr>
        <w:tab/>
      </w:r>
      <w:r>
        <w:rPr>
          <w:rStyle w:val="CharAttribute3"/>
          <w:b w:val="0"/>
          <w:szCs w:val="24"/>
        </w:rPr>
        <w:t xml:space="preserve">The Business Cases and independent appraisals of the three schemes           </w:t>
      </w:r>
      <w:r>
        <w:rPr>
          <w:rStyle w:val="CharAttribute3"/>
          <w:b w:val="0"/>
          <w:szCs w:val="24"/>
        </w:rPr>
        <w:tab/>
        <w:t>outlined in this report con</w:t>
      </w:r>
      <w:bookmarkStart w:id="0" w:name="_GoBack"/>
      <w:bookmarkEnd w:id="0"/>
      <w:r>
        <w:rPr>
          <w:rStyle w:val="CharAttribute3"/>
          <w:b w:val="0"/>
          <w:szCs w:val="24"/>
        </w:rPr>
        <w:t xml:space="preserve">sider the anticipated outputs, outcomes and impacts </w:t>
      </w:r>
      <w:r>
        <w:rPr>
          <w:rStyle w:val="CharAttribute3"/>
          <w:b w:val="0"/>
          <w:szCs w:val="24"/>
        </w:rPr>
        <w:tab/>
        <w:t xml:space="preserve">of the schemes. It will be important for the GDMB to understand how these    </w:t>
      </w:r>
      <w:r>
        <w:rPr>
          <w:rStyle w:val="CharAttribute3"/>
          <w:b w:val="0"/>
          <w:szCs w:val="24"/>
        </w:rPr>
        <w:tab/>
        <w:t>will be monitored and reported, to the GDMB, the LEP</w:t>
      </w:r>
      <w:r>
        <w:rPr>
          <w:rStyle w:val="CharAttribute3"/>
          <w:b w:val="0"/>
          <w:szCs w:val="24"/>
        </w:rPr>
        <w:t>’</w:t>
      </w:r>
      <w:r>
        <w:rPr>
          <w:rStyle w:val="CharAttribute3"/>
          <w:b w:val="0"/>
          <w:szCs w:val="24"/>
        </w:rPr>
        <w:t xml:space="preserve">s Performance            </w:t>
      </w:r>
      <w:r>
        <w:rPr>
          <w:rStyle w:val="CharAttribute3"/>
          <w:b w:val="0"/>
          <w:szCs w:val="24"/>
        </w:rPr>
        <w:tab/>
        <w:t xml:space="preserve">Committee and to Government, via the LOGASNET information management </w:t>
      </w:r>
      <w:r>
        <w:rPr>
          <w:rStyle w:val="CharAttribute3"/>
          <w:b w:val="0"/>
          <w:szCs w:val="24"/>
        </w:rPr>
        <w:tab/>
        <w:t xml:space="preserve">system. </w:t>
      </w:r>
    </w:p>
    <w:p w:rsidR="000F6353" w:rsidRDefault="007F7126">
      <w:pPr>
        <w:pStyle w:val="ParaAttribute18"/>
        <w:rPr>
          <w:rStyle w:val="CharAttribute3"/>
          <w:b w:val="0"/>
          <w:szCs w:val="24"/>
        </w:rPr>
      </w:pPr>
    </w:p>
    <w:p w:rsidR="00FB7177" w:rsidRPr="00436D68" w:rsidRDefault="00A03E36">
      <w:pPr>
        <w:pStyle w:val="ParaAttribute18"/>
        <w:rPr>
          <w:rFonts w:ascii="Arial" w:eastAsia="Arial"/>
          <w:color w:val="FF0000"/>
          <w:sz w:val="24"/>
        </w:rPr>
      </w:pPr>
      <w:r>
        <w:rPr>
          <w:rStyle w:val="CharAttribute3"/>
          <w:b w:val="0"/>
          <w:szCs w:val="24"/>
        </w:rPr>
        <w:t>5.2</w:t>
      </w:r>
      <w:r>
        <w:rPr>
          <w:rStyle w:val="CharAttribute3"/>
          <w:b w:val="0"/>
          <w:szCs w:val="24"/>
        </w:rPr>
        <w:tab/>
        <w:t xml:space="preserve">   The Monitoring and Evaluation Sub Group of the GDMB has been established </w:t>
      </w:r>
      <w:r>
        <w:rPr>
          <w:rStyle w:val="CharAttribute3"/>
          <w:b w:val="0"/>
          <w:szCs w:val="24"/>
        </w:rPr>
        <w:tab/>
        <w:t xml:space="preserve">to ensure that there is a robust and methodical approach to the monitoring     </w:t>
      </w:r>
      <w:r>
        <w:rPr>
          <w:rStyle w:val="CharAttribute3"/>
          <w:b w:val="0"/>
          <w:szCs w:val="24"/>
        </w:rPr>
        <w:tab/>
        <w:t>and evaluation of all Growth Deal projects and it is recommended that the</w:t>
      </w:r>
      <w:r>
        <w:rPr>
          <w:rFonts w:ascii="Arial" w:eastAsia="Arial"/>
          <w:sz w:val="24"/>
        </w:rPr>
        <w:t xml:space="preserve"> Sub   Group engage with the project sponsors for the three projects to ensure that   </w:t>
      </w:r>
      <w:r>
        <w:rPr>
          <w:rFonts w:ascii="Arial" w:eastAsia="Arial"/>
          <w:sz w:val="24"/>
        </w:rPr>
        <w:tab/>
        <w:t xml:space="preserve">there is clarity regarding metric collection and outcome evaluation from the     </w:t>
      </w:r>
      <w:r>
        <w:rPr>
          <w:rFonts w:ascii="Arial" w:eastAsia="Arial"/>
          <w:sz w:val="24"/>
        </w:rPr>
        <w:tab/>
        <w:t xml:space="preserve">outset and that the Sub Group present an update at a future meeting of the   </w:t>
      </w:r>
      <w:r>
        <w:rPr>
          <w:rFonts w:ascii="Arial" w:eastAsia="Arial"/>
          <w:sz w:val="24"/>
        </w:rPr>
        <w:tab/>
        <w:t>GDMB.</w:t>
      </w:r>
      <w:r w:rsidRPr="00436D68">
        <w:rPr>
          <w:rFonts w:ascii="Arial" w:eastAsia="Arial"/>
          <w:color w:val="FF0000"/>
          <w:sz w:val="24"/>
        </w:rPr>
        <w:t xml:space="preserve">. </w:t>
      </w:r>
    </w:p>
    <w:p w:rsidR="00FB7177" w:rsidRDefault="007F7126">
      <w:pPr>
        <w:pStyle w:val="ParaAttribute18"/>
        <w:rPr>
          <w:rFonts w:ascii="Arial" w:eastAsia="Arial"/>
          <w:sz w:val="24"/>
        </w:rPr>
      </w:pPr>
    </w:p>
    <w:p w:rsidR="00BF5873" w:rsidRPr="007F5774" w:rsidRDefault="00A03E36" w:rsidP="00840223">
      <w:pPr>
        <w:pStyle w:val="ParaAttribute18"/>
        <w:rPr>
          <w:rFonts w:ascii="Arial" w:eastAsia="Calibri" w:hAnsi="Arial"/>
          <w:b/>
        </w:rPr>
      </w:pPr>
      <w:r w:rsidRPr="007F5774">
        <w:rPr>
          <w:rFonts w:ascii="Arial" w:eastAsia="Arial"/>
          <w:b/>
          <w:sz w:val="24"/>
        </w:rPr>
        <w:t>6.</w:t>
      </w:r>
      <w:r w:rsidRPr="007F5774">
        <w:rPr>
          <w:rFonts w:ascii="Arial" w:eastAsia="Arial"/>
          <w:b/>
          <w:sz w:val="24"/>
        </w:rPr>
        <w:tab/>
      </w:r>
      <w:r w:rsidRPr="007F5774">
        <w:rPr>
          <w:rFonts w:ascii="Arial" w:eastAsia="Arial"/>
          <w:b/>
          <w:sz w:val="24"/>
        </w:rPr>
        <w:tab/>
        <w:t>Local Growth Fund Agreements</w:t>
      </w:r>
    </w:p>
    <w:p w:rsidR="000A1D51" w:rsidRDefault="000A1D51" w:rsidP="000A1D51">
      <w:pPr>
        <w:pStyle w:val="NoSpacing"/>
        <w:ind w:left="720" w:hanging="720"/>
        <w:rPr>
          <w:rStyle w:val="CharAttribute1"/>
          <w:szCs w:val="24"/>
        </w:rPr>
      </w:pPr>
    </w:p>
    <w:p w:rsidR="00BF5873" w:rsidRDefault="000A1D51" w:rsidP="001974BB">
      <w:pPr>
        <w:pStyle w:val="NoSpacing"/>
        <w:ind w:left="720" w:hanging="720"/>
      </w:pPr>
      <w:r>
        <w:rPr>
          <w:rStyle w:val="CharAttribute1"/>
          <w:szCs w:val="24"/>
        </w:rPr>
        <w:t>6.1</w:t>
      </w:r>
      <w:r>
        <w:rPr>
          <w:rStyle w:val="CharAttribute1"/>
          <w:szCs w:val="24"/>
        </w:rPr>
        <w:tab/>
      </w:r>
      <w:r w:rsidR="00A03E36" w:rsidRPr="000A1D51">
        <w:rPr>
          <w:rStyle w:val="CharAttribute1"/>
          <w:szCs w:val="24"/>
        </w:rPr>
        <w:t xml:space="preserve">All </w:t>
      </w:r>
      <w:proofErr w:type="spellStart"/>
      <w:r w:rsidR="00A03E36" w:rsidRPr="000A1D51">
        <w:rPr>
          <w:rStyle w:val="CharAttribute1"/>
          <w:szCs w:val="24"/>
        </w:rPr>
        <w:t>prioritised</w:t>
      </w:r>
      <w:proofErr w:type="spellEnd"/>
      <w:r w:rsidR="00A03E36" w:rsidRPr="000A1D51">
        <w:rPr>
          <w:rStyle w:val="CharAttribute1"/>
          <w:szCs w:val="24"/>
        </w:rPr>
        <w:t xml:space="preserve"> Growth Deal projects have already received a copy of the </w:t>
      </w:r>
      <w:r w:rsidRPr="000A1D51">
        <w:rPr>
          <w:rStyle w:val="CharAttribute1"/>
          <w:szCs w:val="24"/>
        </w:rPr>
        <w:t xml:space="preserve">core </w:t>
      </w:r>
      <w:r w:rsidR="00A03E36" w:rsidRPr="000A1D51">
        <w:rPr>
          <w:rStyle w:val="CharAttribute1"/>
          <w:szCs w:val="24"/>
        </w:rPr>
        <w:t>LGF Agreement. Final investment approval f</w:t>
      </w:r>
      <w:r w:rsidRPr="000A1D51">
        <w:rPr>
          <w:rStyle w:val="CharAttribute1"/>
          <w:szCs w:val="24"/>
        </w:rPr>
        <w:t xml:space="preserve">rom the LEP Board provides the </w:t>
      </w:r>
      <w:r w:rsidR="00A03E36" w:rsidRPr="000A1D51">
        <w:rPr>
          <w:rStyle w:val="CharAttribute1"/>
          <w:szCs w:val="24"/>
        </w:rPr>
        <w:t>trigger for LCC, as the accountable body and p</w:t>
      </w:r>
      <w:r w:rsidRPr="000A1D51">
        <w:rPr>
          <w:rStyle w:val="CharAttribute1"/>
          <w:szCs w:val="24"/>
        </w:rPr>
        <w:t xml:space="preserve">roject sponsors to ensure that </w:t>
      </w:r>
      <w:r w:rsidR="00A03E36" w:rsidRPr="000A1D51">
        <w:rPr>
          <w:rStyle w:val="CharAttribute1"/>
          <w:szCs w:val="24"/>
        </w:rPr>
        <w:t>the supporting schedules which form part o</w:t>
      </w:r>
      <w:r w:rsidRPr="000A1D51">
        <w:rPr>
          <w:rStyle w:val="CharAttribute1"/>
          <w:szCs w:val="24"/>
        </w:rPr>
        <w:t xml:space="preserve">f the LGF Agreements and which </w:t>
      </w:r>
      <w:r w:rsidR="00A03E36" w:rsidRPr="000A1D51">
        <w:rPr>
          <w:rStyle w:val="CharAttribute1"/>
          <w:szCs w:val="24"/>
        </w:rPr>
        <w:t>set out eligible expenditure, draw down profi</w:t>
      </w:r>
      <w:r w:rsidRPr="000A1D51">
        <w:rPr>
          <w:rStyle w:val="CharAttribute1"/>
          <w:szCs w:val="24"/>
        </w:rPr>
        <w:t xml:space="preserve">le, milestones and outputs are </w:t>
      </w:r>
      <w:r w:rsidR="00A03E36" w:rsidRPr="000A1D51">
        <w:rPr>
          <w:rStyle w:val="CharAttribute1"/>
          <w:szCs w:val="24"/>
        </w:rPr>
        <w:t>prepared and executed. It is therefore recommended that agree</w:t>
      </w:r>
      <w:r w:rsidRPr="000A1D51">
        <w:rPr>
          <w:rStyle w:val="CharAttribute1"/>
          <w:szCs w:val="24"/>
        </w:rPr>
        <w:t xml:space="preserve">ments are </w:t>
      </w:r>
      <w:r w:rsidR="00A03E36" w:rsidRPr="000A1D51">
        <w:rPr>
          <w:rStyle w:val="CharAttribute1"/>
          <w:szCs w:val="24"/>
        </w:rPr>
        <w:t>now prepared for the three schemes outlined in t</w:t>
      </w:r>
      <w:r w:rsidRPr="000A1D51">
        <w:rPr>
          <w:rStyle w:val="CharAttribute1"/>
          <w:szCs w:val="24"/>
        </w:rPr>
        <w:t xml:space="preserve">his report. It should be noted </w:t>
      </w:r>
      <w:r w:rsidR="00A03E36" w:rsidRPr="000A1D51">
        <w:rPr>
          <w:rStyle w:val="CharAttribute1"/>
          <w:szCs w:val="24"/>
        </w:rPr>
        <w:t xml:space="preserve">that agreements for A6 </w:t>
      </w:r>
      <w:r w:rsidRPr="000A1D51">
        <w:rPr>
          <w:rStyle w:val="CharAttribute1"/>
          <w:szCs w:val="24"/>
        </w:rPr>
        <w:t xml:space="preserve">Broughton By-Pass </w:t>
      </w:r>
      <w:r w:rsidR="00A03E36" w:rsidRPr="000A1D51">
        <w:rPr>
          <w:rStyle w:val="CharAttribute1"/>
          <w:szCs w:val="24"/>
        </w:rPr>
        <w:t>and the</w:t>
      </w:r>
      <w:r w:rsidR="007F5774">
        <w:rPr>
          <w:rStyle w:val="CharAttribute1"/>
          <w:szCs w:val="24"/>
        </w:rPr>
        <w:t xml:space="preserve"> </w:t>
      </w:r>
      <w:r w:rsidRPr="000A1D51">
        <w:rPr>
          <w:rFonts w:ascii="Arial" w:hAnsi="Arial" w:cs="Arial"/>
          <w:sz w:val="24"/>
          <w:szCs w:val="24"/>
        </w:rPr>
        <w:t>Preston City Centre Improvements</w:t>
      </w:r>
      <w:r w:rsidR="007F5774">
        <w:rPr>
          <w:rFonts w:ascii="Arial" w:hAnsi="Arial" w:cs="Arial"/>
          <w:sz w:val="24"/>
          <w:szCs w:val="24"/>
        </w:rPr>
        <w:t xml:space="preserve"> </w:t>
      </w:r>
      <w:r w:rsidR="00A03E36" w:rsidRPr="000A1D51">
        <w:rPr>
          <w:rStyle w:val="CharAttribute1"/>
          <w:szCs w:val="24"/>
        </w:rPr>
        <w:t>will take the form of a</w:t>
      </w:r>
      <w:r w:rsidRPr="000A1D51">
        <w:rPr>
          <w:rStyle w:val="CharAttribute1"/>
          <w:szCs w:val="24"/>
        </w:rPr>
        <w:t xml:space="preserve"> memorandum of understanding </w:t>
      </w:r>
      <w:r w:rsidR="00A03E36" w:rsidRPr="000A1D51">
        <w:rPr>
          <w:rStyle w:val="CharAttribute1"/>
          <w:szCs w:val="24"/>
        </w:rPr>
        <w:t>given Lancashire County Council as both the projec</w:t>
      </w:r>
      <w:r w:rsidRPr="000A1D51">
        <w:rPr>
          <w:rStyle w:val="CharAttribute1"/>
          <w:szCs w:val="24"/>
        </w:rPr>
        <w:t xml:space="preserve">t sponsor and accountable body </w:t>
      </w:r>
      <w:r w:rsidR="00A03E36" w:rsidRPr="000A1D51">
        <w:rPr>
          <w:rStyle w:val="CharAttribute1"/>
          <w:szCs w:val="24"/>
        </w:rPr>
        <w:t xml:space="preserve">cannot </w:t>
      </w:r>
      <w:r w:rsidR="00A03E36" w:rsidRPr="000A1D51">
        <w:rPr>
          <w:rStyle w:val="CharAttribute1"/>
          <w:szCs w:val="24"/>
        </w:rPr>
        <w:t>“</w:t>
      </w:r>
      <w:r w:rsidR="00A03E36" w:rsidRPr="000A1D51">
        <w:rPr>
          <w:rStyle w:val="CharAttribute1"/>
          <w:szCs w:val="24"/>
        </w:rPr>
        <w:t>contract</w:t>
      </w:r>
      <w:r w:rsidR="00A03E36" w:rsidRPr="000A1D51">
        <w:rPr>
          <w:rStyle w:val="CharAttribute1"/>
          <w:szCs w:val="24"/>
        </w:rPr>
        <w:t>”</w:t>
      </w:r>
      <w:r w:rsidR="00A03E36" w:rsidRPr="000A1D51">
        <w:rPr>
          <w:rStyle w:val="CharAttribute1"/>
          <w:szCs w:val="24"/>
        </w:rPr>
        <w:t xml:space="preserve"> with itself.</w:t>
      </w:r>
      <w:r w:rsidR="00A03E36" w:rsidRPr="000A1D51">
        <w:rPr>
          <w:rFonts w:ascii="Arial" w:eastAsia="Arial" w:hAnsi="Arial"/>
          <w:sz w:val="24"/>
          <w:szCs w:val="24"/>
        </w:rPr>
        <w:t xml:space="preserve"> </w:t>
      </w:r>
    </w:p>
    <w:sectPr w:rsidR="00BF5873" w:rsidSect="00905BF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36" w:rsidRDefault="00A03E36">
      <w:r>
        <w:separator/>
      </w:r>
    </w:p>
  </w:endnote>
  <w:endnote w:type="continuationSeparator" w:id="0">
    <w:p w:rsidR="00A03E36" w:rsidRDefault="00A0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 □□">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43" w:rsidRDefault="00945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51" w:rsidRPr="00945F43" w:rsidRDefault="000A1D51" w:rsidP="00945F43">
    <w:pPr>
      <w:pStyle w:val="Foo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43" w:rsidRDefault="00945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36" w:rsidRDefault="00A03E36">
      <w:r>
        <w:separator/>
      </w:r>
    </w:p>
  </w:footnote>
  <w:footnote w:type="continuationSeparator" w:id="0">
    <w:p w:rsidR="00A03E36" w:rsidRDefault="00A0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43" w:rsidRDefault="00945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68" w:rsidRDefault="00A03E36">
    <w:pPr>
      <w:pStyle w:val="ParaAttribute1"/>
      <w:rPr>
        <w:rFonts w:ascii="Arial" w:eastAsia="Calibri" w:hAnsi="Arial"/>
      </w:rPr>
    </w:pPr>
    <w:r>
      <w:rPr>
        <w:rFonts w:ascii="Arial" w:eastAsia="Calibri" w:hAnsi="Arial"/>
        <w:noProof/>
      </w:rPr>
      <w:drawing>
        <wp:anchor distT="0" distB="0" distL="114300" distR="114300" simplePos="0" relativeHeight="251624960" behindDoc="0" locked="0" layoutInCell="1" allowOverlap="1">
          <wp:simplePos x="0" y="0"/>
          <wp:positionH relativeFrom="column">
            <wp:posOffset>-762000</wp:posOffset>
          </wp:positionH>
          <wp:positionV relativeFrom="paragraph">
            <wp:posOffset>-248284</wp:posOffset>
          </wp:positionV>
          <wp:extent cx="2219960" cy="743585"/>
          <wp:effectExtent l="0" t="0" r="9525" b="0"/>
          <wp:wrapNone/>
          <wp:docPr id="4"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20595" cy="744220"/>
                  </a:xfrm>
                  <a:prstGeom prst="rect">
                    <a:avLst/>
                  </a:prstGeom>
                  <a:noFill/>
                  <a:ln w="3175" cap="flat" cmpd="sng">
                    <a:noFill/>
                    <a:prstDash/>
                    <a:miter lim="800000"/>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43" w:rsidRDefault="00945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739540"/>
    <w:lvl w:ilvl="0">
      <w:start w:val="1"/>
      <w:numFmt w:val="decimal"/>
      <w:lvlText w:val="%1"/>
      <w:lvlJc w:val="left"/>
      <w:pPr>
        <w:ind w:left="700" w:hanging="700"/>
      </w:pPr>
      <w:rPr>
        <w:rFonts w:ascii="Arial" w:eastAsia="Arial" w:hAnsi="Arial" w:hint="default"/>
        <w:b w:val="0"/>
        <w:color w:val="000000"/>
        <w:sz w:val="24"/>
        <w:szCs w:val="24"/>
      </w:rPr>
    </w:lvl>
    <w:lvl w:ilvl="1">
      <w:start w:val="1"/>
      <w:numFmt w:val="decimal"/>
      <w:lvlText w:val="%1.%2"/>
      <w:lvlJc w:val="left"/>
      <w:pPr>
        <w:ind w:left="700" w:hanging="700"/>
      </w:pPr>
      <w:rPr>
        <w:rFonts w:ascii="Arial" w:eastAsia="Arial" w:hAnsi="Arial" w:hint="default"/>
        <w:b w:val="0"/>
        <w:color w:val="000000"/>
        <w:sz w:val="24"/>
        <w:szCs w:val="24"/>
      </w:rPr>
    </w:lvl>
    <w:lvl w:ilvl="2">
      <w:start w:val="1"/>
      <w:numFmt w:val="decimal"/>
      <w:lvlText w:val="%1.%2.%3"/>
      <w:lvlJc w:val="left"/>
      <w:pPr>
        <w:ind w:left="720" w:hanging="720"/>
      </w:pPr>
      <w:rPr>
        <w:rFonts w:ascii="Arial" w:eastAsia="Calibri" w:hAnsi="Arial" w:hint="default"/>
        <w:b w:val="0"/>
        <w:color w:val="000000"/>
      </w:rPr>
    </w:lvl>
    <w:lvl w:ilvl="3">
      <w:start w:val="1"/>
      <w:numFmt w:val="decimal"/>
      <w:lvlText w:val="%1.%2.%3.%4"/>
      <w:lvlJc w:val="left"/>
      <w:pPr>
        <w:ind w:left="1080" w:hanging="1080"/>
      </w:pPr>
      <w:rPr>
        <w:rFonts w:ascii="Arial" w:eastAsia="Calibri" w:hAnsi="Arial" w:hint="default"/>
        <w:b w:val="0"/>
        <w:color w:val="000000"/>
      </w:rPr>
    </w:lvl>
    <w:lvl w:ilvl="4">
      <w:start w:val="1"/>
      <w:numFmt w:val="decimal"/>
      <w:lvlText w:val="%1.%2.%3.%4.%5"/>
      <w:lvlJc w:val="left"/>
      <w:pPr>
        <w:ind w:left="1080" w:hanging="1080"/>
      </w:pPr>
      <w:rPr>
        <w:rFonts w:ascii="Arial" w:eastAsia="Calibri" w:hAnsi="Arial" w:hint="default"/>
        <w:b w:val="0"/>
        <w:color w:val="000000"/>
      </w:rPr>
    </w:lvl>
    <w:lvl w:ilvl="5">
      <w:start w:val="1"/>
      <w:numFmt w:val="decimal"/>
      <w:lvlText w:val="%1.%2.%3.%4.%5.%6"/>
      <w:lvlJc w:val="left"/>
      <w:pPr>
        <w:ind w:left="1440" w:hanging="1440"/>
      </w:pPr>
      <w:rPr>
        <w:rFonts w:ascii="Arial" w:eastAsia="Calibri" w:hAnsi="Arial" w:hint="default"/>
        <w:b w:val="0"/>
        <w:color w:val="000000"/>
      </w:rPr>
    </w:lvl>
    <w:lvl w:ilvl="6">
      <w:start w:val="1"/>
      <w:numFmt w:val="decimal"/>
      <w:lvlText w:val="%1.%2.%3.%4.%5.%6.%7"/>
      <w:lvlJc w:val="left"/>
      <w:pPr>
        <w:ind w:left="1440" w:hanging="1440"/>
      </w:pPr>
      <w:rPr>
        <w:rFonts w:ascii="Arial" w:eastAsia="Calibri" w:hAnsi="Arial" w:hint="default"/>
        <w:b w:val="0"/>
        <w:color w:val="000000"/>
      </w:rPr>
    </w:lvl>
    <w:lvl w:ilvl="7">
      <w:start w:val="1"/>
      <w:numFmt w:val="decimal"/>
      <w:lvlText w:val="%1.%2.%3.%4.%5.%6.%7.%8"/>
      <w:lvlJc w:val="left"/>
      <w:pPr>
        <w:ind w:left="1800" w:hanging="1800"/>
      </w:pPr>
      <w:rPr>
        <w:rFonts w:ascii="Arial" w:eastAsia="Calibri" w:hAnsi="Arial" w:hint="default"/>
        <w:b w:val="0"/>
        <w:color w:val="000000"/>
      </w:rPr>
    </w:lvl>
    <w:lvl w:ilvl="8">
      <w:start w:val="1"/>
      <w:numFmt w:val="decimal"/>
      <w:lvlText w:val="%1.%2.%3.%4.%5.%6.%7.%8.%9"/>
      <w:lvlJc w:val="left"/>
      <w:pPr>
        <w:ind w:left="1800" w:hanging="1800"/>
      </w:pPr>
      <w:rPr>
        <w:rFonts w:ascii="Arial" w:eastAsia="Calibri" w:hAnsi="Arial" w:hint="default"/>
        <w:b w:val="0"/>
        <w:color w:val="000000"/>
      </w:rPr>
    </w:lvl>
  </w:abstractNum>
  <w:abstractNum w:abstractNumId="1" w15:restartNumberingAfterBreak="0">
    <w:nsid w:val="00000002"/>
    <w:multiLevelType w:val="hybridMultilevel"/>
    <w:tmpl w:val="91359344"/>
    <w:lvl w:ilvl="0" w:tplc="36C48F72">
      <w:start w:val="1"/>
      <w:numFmt w:val="lowerRoman"/>
      <w:lvlText w:val="(%1)"/>
      <w:lvlJc w:val="left"/>
      <w:pPr>
        <w:ind w:left="1440" w:hanging="720"/>
      </w:pPr>
      <w:rPr>
        <w:rFonts w:ascii="Arial" w:eastAsia="Arial" w:hAnsi="Arial" w:hint="default"/>
        <w:b w:val="0"/>
        <w:color w:val="000000"/>
        <w:sz w:val="24"/>
        <w:szCs w:val="24"/>
      </w:rPr>
    </w:lvl>
    <w:lvl w:ilvl="1" w:tplc="9F588C7A">
      <w:start w:val="1"/>
      <w:numFmt w:val="lowerLetter"/>
      <w:lvlText w:val="%2."/>
      <w:lvlJc w:val="left"/>
      <w:pPr>
        <w:ind w:left="1800" w:hanging="360"/>
      </w:pPr>
      <w:rPr>
        <w:rFonts w:ascii="Arial" w:eastAsia="Calibri" w:hAnsi="Arial" w:hint="default"/>
        <w:b w:val="0"/>
        <w:color w:val="000000"/>
      </w:rPr>
    </w:lvl>
    <w:lvl w:ilvl="2" w:tplc="BB842F5A">
      <w:start w:val="1"/>
      <w:numFmt w:val="lowerRoman"/>
      <w:lvlText w:val="%3."/>
      <w:lvlJc w:val="left"/>
      <w:pPr>
        <w:ind w:left="2520" w:hanging="180"/>
      </w:pPr>
      <w:rPr>
        <w:rFonts w:ascii="Arial" w:eastAsia="Calibri" w:hAnsi="Arial" w:hint="default"/>
        <w:b w:val="0"/>
        <w:color w:val="000000"/>
      </w:rPr>
    </w:lvl>
    <w:lvl w:ilvl="3" w:tplc="186420CA">
      <w:start w:val="1"/>
      <w:numFmt w:val="decimal"/>
      <w:lvlText w:val="%4."/>
      <w:lvlJc w:val="left"/>
      <w:pPr>
        <w:ind w:left="3240" w:hanging="360"/>
      </w:pPr>
      <w:rPr>
        <w:rFonts w:ascii="Arial" w:eastAsia="Calibri" w:hAnsi="Arial" w:hint="default"/>
        <w:b w:val="0"/>
        <w:color w:val="000000"/>
      </w:rPr>
    </w:lvl>
    <w:lvl w:ilvl="4" w:tplc="451A6256">
      <w:start w:val="1"/>
      <w:numFmt w:val="lowerLetter"/>
      <w:lvlText w:val="%5."/>
      <w:lvlJc w:val="left"/>
      <w:pPr>
        <w:ind w:left="3960" w:hanging="360"/>
      </w:pPr>
      <w:rPr>
        <w:rFonts w:ascii="Arial" w:eastAsia="Calibri" w:hAnsi="Arial" w:hint="default"/>
        <w:b w:val="0"/>
        <w:color w:val="000000"/>
      </w:rPr>
    </w:lvl>
    <w:lvl w:ilvl="5" w:tplc="0BA04DD8">
      <w:start w:val="1"/>
      <w:numFmt w:val="lowerRoman"/>
      <w:lvlText w:val="%6."/>
      <w:lvlJc w:val="left"/>
      <w:pPr>
        <w:ind w:left="4680" w:hanging="180"/>
      </w:pPr>
      <w:rPr>
        <w:rFonts w:ascii="Arial" w:eastAsia="Calibri" w:hAnsi="Arial" w:hint="default"/>
        <w:b w:val="0"/>
        <w:color w:val="000000"/>
      </w:rPr>
    </w:lvl>
    <w:lvl w:ilvl="6" w:tplc="DE44893A">
      <w:start w:val="1"/>
      <w:numFmt w:val="decimal"/>
      <w:lvlText w:val="%7."/>
      <w:lvlJc w:val="left"/>
      <w:pPr>
        <w:ind w:left="5400" w:hanging="360"/>
      </w:pPr>
      <w:rPr>
        <w:rFonts w:ascii="Arial" w:eastAsia="Calibri" w:hAnsi="Arial" w:hint="default"/>
        <w:b w:val="0"/>
        <w:color w:val="000000"/>
      </w:rPr>
    </w:lvl>
    <w:lvl w:ilvl="7" w:tplc="DCC039DA">
      <w:start w:val="1"/>
      <w:numFmt w:val="lowerLetter"/>
      <w:lvlText w:val="%8."/>
      <w:lvlJc w:val="left"/>
      <w:pPr>
        <w:ind w:left="6120" w:hanging="360"/>
      </w:pPr>
      <w:rPr>
        <w:rFonts w:ascii="Arial" w:eastAsia="Calibri" w:hAnsi="Arial" w:hint="default"/>
        <w:b w:val="0"/>
        <w:color w:val="000000"/>
      </w:rPr>
    </w:lvl>
    <w:lvl w:ilvl="8" w:tplc="D214D374">
      <w:start w:val="1"/>
      <w:numFmt w:val="lowerRoman"/>
      <w:lvlText w:val="%9."/>
      <w:lvlJc w:val="left"/>
      <w:pPr>
        <w:ind w:left="6840" w:hanging="180"/>
      </w:pPr>
      <w:rPr>
        <w:rFonts w:ascii="Arial" w:eastAsia="Calibri" w:hAnsi="Arial" w:hint="default"/>
        <w:b w:val="0"/>
        <w:color w:val="000000"/>
      </w:rPr>
    </w:lvl>
  </w:abstractNum>
  <w:abstractNum w:abstractNumId="2" w15:restartNumberingAfterBreak="0">
    <w:nsid w:val="02F0694A"/>
    <w:multiLevelType w:val="hybridMultilevel"/>
    <w:tmpl w:val="34256743"/>
    <w:lvl w:ilvl="0" w:tplc="99DE5A5C">
      <w:start w:val="1"/>
      <w:numFmt w:val="decimal"/>
      <w:lvlText w:val="%1."/>
      <w:lvlJc w:val="left"/>
      <w:pPr>
        <w:ind w:left="920" w:hanging="560"/>
      </w:pPr>
      <w:rPr>
        <w:rFonts w:ascii="Arial" w:eastAsia="Arial" w:hAnsi="Arial" w:hint="default"/>
        <w:b w:val="0"/>
        <w:color w:val="000000"/>
        <w:sz w:val="24"/>
        <w:szCs w:val="24"/>
      </w:rPr>
    </w:lvl>
    <w:lvl w:ilvl="1" w:tplc="CE2277FE">
      <w:start w:val="1"/>
      <w:numFmt w:val="lowerLetter"/>
      <w:lvlText w:val="%2."/>
      <w:lvlJc w:val="left"/>
      <w:pPr>
        <w:ind w:left="1440" w:hanging="360"/>
      </w:pPr>
      <w:rPr>
        <w:rFonts w:ascii="Arial" w:eastAsia="Calibri" w:hAnsi="Arial" w:hint="default"/>
        <w:b w:val="0"/>
        <w:color w:val="000000"/>
      </w:rPr>
    </w:lvl>
    <w:lvl w:ilvl="2" w:tplc="B25E6E86">
      <w:start w:val="1"/>
      <w:numFmt w:val="lowerRoman"/>
      <w:lvlText w:val="%3."/>
      <w:lvlJc w:val="left"/>
      <w:pPr>
        <w:ind w:left="2160" w:hanging="180"/>
      </w:pPr>
      <w:rPr>
        <w:rFonts w:ascii="Arial" w:eastAsia="Calibri" w:hAnsi="Arial" w:hint="default"/>
        <w:b w:val="0"/>
        <w:color w:val="000000"/>
      </w:rPr>
    </w:lvl>
    <w:lvl w:ilvl="3" w:tplc="62944CDA">
      <w:start w:val="1"/>
      <w:numFmt w:val="decimal"/>
      <w:lvlText w:val="%4."/>
      <w:lvlJc w:val="left"/>
      <w:pPr>
        <w:ind w:left="2880" w:hanging="360"/>
      </w:pPr>
      <w:rPr>
        <w:rFonts w:ascii="Arial" w:eastAsia="Calibri" w:hAnsi="Arial" w:hint="default"/>
        <w:b w:val="0"/>
        <w:color w:val="000000"/>
      </w:rPr>
    </w:lvl>
    <w:lvl w:ilvl="4" w:tplc="D7D6CD5A">
      <w:start w:val="1"/>
      <w:numFmt w:val="lowerLetter"/>
      <w:lvlText w:val="%5."/>
      <w:lvlJc w:val="left"/>
      <w:pPr>
        <w:ind w:left="3600" w:hanging="360"/>
      </w:pPr>
      <w:rPr>
        <w:rFonts w:ascii="Arial" w:eastAsia="Calibri" w:hAnsi="Arial" w:hint="default"/>
        <w:b w:val="0"/>
        <w:color w:val="000000"/>
      </w:rPr>
    </w:lvl>
    <w:lvl w:ilvl="5" w:tplc="97BEDBDA">
      <w:start w:val="1"/>
      <w:numFmt w:val="lowerRoman"/>
      <w:lvlText w:val="%6."/>
      <w:lvlJc w:val="left"/>
      <w:pPr>
        <w:ind w:left="4320" w:hanging="180"/>
      </w:pPr>
      <w:rPr>
        <w:rFonts w:ascii="Arial" w:eastAsia="Calibri" w:hAnsi="Arial" w:hint="default"/>
        <w:b w:val="0"/>
        <w:color w:val="000000"/>
      </w:rPr>
    </w:lvl>
    <w:lvl w:ilvl="6" w:tplc="CC206D22">
      <w:start w:val="1"/>
      <w:numFmt w:val="decimal"/>
      <w:lvlText w:val="%7."/>
      <w:lvlJc w:val="left"/>
      <w:pPr>
        <w:ind w:left="5040" w:hanging="360"/>
      </w:pPr>
      <w:rPr>
        <w:rFonts w:ascii="Arial" w:eastAsia="Calibri" w:hAnsi="Arial" w:hint="default"/>
        <w:b w:val="0"/>
        <w:color w:val="000000"/>
      </w:rPr>
    </w:lvl>
    <w:lvl w:ilvl="7" w:tplc="1F4AE3A0">
      <w:start w:val="1"/>
      <w:numFmt w:val="lowerLetter"/>
      <w:lvlText w:val="%8."/>
      <w:lvlJc w:val="left"/>
      <w:pPr>
        <w:ind w:left="5760" w:hanging="360"/>
      </w:pPr>
      <w:rPr>
        <w:rFonts w:ascii="Arial" w:eastAsia="Calibri" w:hAnsi="Arial" w:hint="default"/>
        <w:b w:val="0"/>
        <w:color w:val="000000"/>
      </w:rPr>
    </w:lvl>
    <w:lvl w:ilvl="8" w:tplc="13FE39AA">
      <w:start w:val="1"/>
      <w:numFmt w:val="lowerRoman"/>
      <w:lvlText w:val="%9."/>
      <w:lvlJc w:val="left"/>
      <w:pPr>
        <w:ind w:left="6480" w:hanging="180"/>
      </w:pPr>
      <w:rPr>
        <w:rFonts w:ascii="Arial" w:eastAsia="Calibri" w:hAnsi="Arial" w:hint="default"/>
        <w:b w:val="0"/>
        <w:color w:val="000000"/>
      </w:rPr>
    </w:lvl>
  </w:abstractNum>
  <w:abstractNum w:abstractNumId="3" w15:restartNumberingAfterBreak="0">
    <w:nsid w:val="35A71333"/>
    <w:multiLevelType w:val="hybridMultilevel"/>
    <w:tmpl w:val="7FC2D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522DF"/>
    <w:multiLevelType w:val="hybridMultilevel"/>
    <w:tmpl w:val="622CD06A"/>
    <w:lvl w:ilvl="0" w:tplc="2A6E17D4">
      <w:start w:val="1"/>
      <w:numFmt w:val="lowerRoman"/>
      <w:lvlText w:val="(%1)"/>
      <w:lvlJc w:val="left"/>
      <w:pPr>
        <w:ind w:left="1080" w:hanging="720"/>
      </w:pPr>
      <w:rPr>
        <w:rFonts w:eastAsia="Arial"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4119A3"/>
    <w:multiLevelType w:val="hybridMultilevel"/>
    <w:tmpl w:val="E76A9220"/>
    <w:lvl w:ilvl="0" w:tplc="20ACED7A">
      <w:start w:val="1"/>
      <w:numFmt w:val="lowerRoman"/>
      <w:lvlText w:val="(%1)"/>
      <w:lvlJc w:val="left"/>
      <w:pPr>
        <w:ind w:left="1080" w:hanging="720"/>
      </w:pPr>
      <w:rPr>
        <w:rFonts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2D7650"/>
    <w:multiLevelType w:val="hybridMultilevel"/>
    <w:tmpl w:val="45867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73"/>
    <w:rsid w:val="0006045C"/>
    <w:rsid w:val="000A1D51"/>
    <w:rsid w:val="00233D71"/>
    <w:rsid w:val="00267D7B"/>
    <w:rsid w:val="00424A60"/>
    <w:rsid w:val="00484122"/>
    <w:rsid w:val="007F5774"/>
    <w:rsid w:val="007F7126"/>
    <w:rsid w:val="00945F43"/>
    <w:rsid w:val="00A03E36"/>
    <w:rsid w:val="00BF5873"/>
    <w:rsid w:val="00C2467A"/>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611767D-F49F-4214-AF8A-E6C4FAC3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BF9"/>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905B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05BF9"/>
    <w:pPr>
      <w:ind w:left="400"/>
    </w:pPr>
  </w:style>
  <w:style w:type="paragraph" w:customStyle="1" w:styleId="ParaAttribute0">
    <w:name w:val="ParaAttribute0"/>
    <w:rsid w:val="00905BF9"/>
    <w:pPr>
      <w:wordWrap w:val="0"/>
      <w:spacing w:after="5"/>
      <w:ind w:left="-710" w:firstLine="695"/>
    </w:pPr>
  </w:style>
  <w:style w:type="paragraph" w:customStyle="1" w:styleId="ParaAttribute1">
    <w:name w:val="ParaAttribute1"/>
    <w:rsid w:val="00905BF9"/>
    <w:pPr>
      <w:tabs>
        <w:tab w:val="center" w:pos="4513"/>
        <w:tab w:val="center" w:pos="4513"/>
        <w:tab w:val="right" w:pos="9026"/>
        <w:tab w:val="right" w:pos="9026"/>
      </w:tabs>
      <w:wordWrap w:val="0"/>
      <w:ind w:left="542" w:hanging="542"/>
    </w:pPr>
  </w:style>
  <w:style w:type="paragraph" w:customStyle="1" w:styleId="ParaAttribute2">
    <w:name w:val="ParaAttribute2"/>
    <w:rsid w:val="00905BF9"/>
    <w:pPr>
      <w:wordWrap w:val="0"/>
    </w:pPr>
  </w:style>
  <w:style w:type="paragraph" w:customStyle="1" w:styleId="ParaAttribute3">
    <w:name w:val="ParaAttribute3"/>
    <w:rsid w:val="00905BF9"/>
    <w:pPr>
      <w:wordWrap w:val="0"/>
      <w:spacing w:after="5"/>
      <w:ind w:left="542" w:hanging="542"/>
    </w:pPr>
  </w:style>
  <w:style w:type="paragraph" w:customStyle="1" w:styleId="ParaAttribute4">
    <w:name w:val="ParaAttribute4"/>
    <w:rsid w:val="00905BF9"/>
    <w:pPr>
      <w:widowControl w:val="0"/>
      <w:wordWrap w:val="0"/>
      <w:spacing w:after="5"/>
      <w:ind w:left="542" w:hanging="542"/>
    </w:pPr>
  </w:style>
  <w:style w:type="paragraph" w:customStyle="1" w:styleId="ParaAttribute5">
    <w:name w:val="ParaAttribute5"/>
    <w:rsid w:val="00905BF9"/>
    <w:pPr>
      <w:wordWrap w:val="0"/>
      <w:spacing w:after="5"/>
      <w:ind w:right="-873"/>
    </w:pPr>
  </w:style>
  <w:style w:type="paragraph" w:customStyle="1" w:styleId="ParaAttribute6">
    <w:name w:val="ParaAttribute6"/>
    <w:rsid w:val="00905BF9"/>
    <w:pPr>
      <w:keepNext/>
      <w:keepLines/>
      <w:wordWrap w:val="0"/>
      <w:spacing w:before="40"/>
      <w:ind w:left="542" w:hanging="542"/>
    </w:pPr>
  </w:style>
  <w:style w:type="paragraph" w:customStyle="1" w:styleId="ParaAttribute7">
    <w:name w:val="ParaAttribute7"/>
    <w:rsid w:val="00905BF9"/>
    <w:pPr>
      <w:tabs>
        <w:tab w:val="left" w:pos="709"/>
        <w:tab w:val="left" w:pos="709"/>
      </w:tabs>
      <w:wordWrap w:val="0"/>
    </w:pPr>
  </w:style>
  <w:style w:type="paragraph" w:customStyle="1" w:styleId="ParaAttribute8">
    <w:name w:val="ParaAttribute8"/>
    <w:rsid w:val="00905BF9"/>
    <w:pPr>
      <w:tabs>
        <w:tab w:val="left" w:pos="567"/>
        <w:tab w:val="left" w:pos="567"/>
        <w:tab w:val="left" w:pos="709"/>
        <w:tab w:val="left" w:pos="709"/>
      </w:tabs>
      <w:wordWrap w:val="0"/>
      <w:ind w:left="1099" w:hanging="532"/>
    </w:pPr>
  </w:style>
  <w:style w:type="paragraph" w:customStyle="1" w:styleId="ParaAttribute9">
    <w:name w:val="ParaAttribute9"/>
    <w:rsid w:val="00905BF9"/>
    <w:pPr>
      <w:widowControl w:val="0"/>
      <w:tabs>
        <w:tab w:val="left" w:pos="567"/>
      </w:tabs>
      <w:wordWrap w:val="0"/>
      <w:ind w:left="920" w:hanging="560"/>
    </w:pPr>
  </w:style>
  <w:style w:type="paragraph" w:customStyle="1" w:styleId="ParaAttribute10">
    <w:name w:val="ParaAttribute10"/>
    <w:rsid w:val="00905BF9"/>
    <w:pPr>
      <w:tabs>
        <w:tab w:val="left" w:pos="567"/>
        <w:tab w:val="left" w:pos="567"/>
      </w:tabs>
      <w:wordWrap w:val="0"/>
    </w:pPr>
  </w:style>
  <w:style w:type="paragraph" w:customStyle="1" w:styleId="ParaAttribute11">
    <w:name w:val="ParaAttribute11"/>
    <w:rsid w:val="00905BF9"/>
    <w:pPr>
      <w:widowControl w:val="0"/>
      <w:wordWrap w:val="0"/>
      <w:ind w:left="400"/>
      <w:jc w:val="both"/>
    </w:pPr>
  </w:style>
  <w:style w:type="paragraph" w:customStyle="1" w:styleId="ParaAttribute12">
    <w:name w:val="ParaAttribute12"/>
    <w:rsid w:val="00905BF9"/>
    <w:pPr>
      <w:widowControl w:val="0"/>
      <w:wordWrap w:val="0"/>
      <w:ind w:left="400"/>
      <w:jc w:val="both"/>
    </w:pPr>
  </w:style>
  <w:style w:type="paragraph" w:customStyle="1" w:styleId="ParaAttribute13">
    <w:name w:val="ParaAttribute13"/>
    <w:rsid w:val="00905BF9"/>
    <w:pPr>
      <w:widowControl w:val="0"/>
      <w:tabs>
        <w:tab w:val="left" w:pos="567"/>
      </w:tabs>
      <w:wordWrap w:val="0"/>
      <w:ind w:left="920" w:hanging="560"/>
      <w:jc w:val="both"/>
    </w:pPr>
  </w:style>
  <w:style w:type="paragraph" w:customStyle="1" w:styleId="ParaAttribute14">
    <w:name w:val="ParaAttribute14"/>
    <w:rsid w:val="00905BF9"/>
    <w:pPr>
      <w:tabs>
        <w:tab w:val="center" w:pos="4513"/>
        <w:tab w:val="center" w:pos="4513"/>
        <w:tab w:val="right" w:pos="9026"/>
        <w:tab w:val="right" w:pos="9026"/>
      </w:tabs>
      <w:wordWrap w:val="0"/>
    </w:pPr>
  </w:style>
  <w:style w:type="paragraph" w:customStyle="1" w:styleId="ParaAttribute15">
    <w:name w:val="ParaAttribute15"/>
    <w:rsid w:val="00905BF9"/>
    <w:pPr>
      <w:wordWrap w:val="0"/>
      <w:spacing w:after="5"/>
      <w:ind w:left="60"/>
    </w:pPr>
  </w:style>
  <w:style w:type="paragraph" w:customStyle="1" w:styleId="ParaAttribute16">
    <w:name w:val="ParaAttribute16"/>
    <w:rsid w:val="00905BF9"/>
    <w:pPr>
      <w:wordWrap w:val="0"/>
      <w:spacing w:after="5"/>
    </w:pPr>
  </w:style>
  <w:style w:type="paragraph" w:customStyle="1" w:styleId="ParaAttribute17">
    <w:name w:val="ParaAttribute17"/>
    <w:rsid w:val="00905BF9"/>
    <w:pPr>
      <w:widowControl w:val="0"/>
      <w:tabs>
        <w:tab w:val="left" w:pos="709"/>
      </w:tabs>
      <w:wordWrap w:val="0"/>
      <w:ind w:left="700" w:hanging="700"/>
    </w:pPr>
  </w:style>
  <w:style w:type="paragraph" w:customStyle="1" w:styleId="ParaAttribute18">
    <w:name w:val="ParaAttribute18"/>
    <w:rsid w:val="00905BF9"/>
    <w:pPr>
      <w:wordWrap w:val="0"/>
      <w:ind w:left="542" w:hanging="542"/>
    </w:pPr>
  </w:style>
  <w:style w:type="paragraph" w:customStyle="1" w:styleId="ParaAttribute19">
    <w:name w:val="ParaAttribute19"/>
    <w:rsid w:val="00905BF9"/>
    <w:pPr>
      <w:wordWrap w:val="0"/>
      <w:ind w:left="720" w:hanging="720"/>
    </w:pPr>
  </w:style>
  <w:style w:type="paragraph" w:customStyle="1" w:styleId="ParaAttribute20">
    <w:name w:val="ParaAttribute20"/>
    <w:rsid w:val="00905BF9"/>
    <w:pPr>
      <w:wordWrap w:val="0"/>
    </w:pPr>
  </w:style>
  <w:style w:type="paragraph" w:customStyle="1" w:styleId="ParaAttribute21">
    <w:name w:val="ParaAttribute21"/>
    <w:rsid w:val="00905BF9"/>
    <w:pPr>
      <w:widowControl w:val="0"/>
      <w:wordWrap w:val="0"/>
    </w:pPr>
  </w:style>
  <w:style w:type="paragraph" w:customStyle="1" w:styleId="ParaAttribute22">
    <w:name w:val="ParaAttribute22"/>
    <w:rsid w:val="00905BF9"/>
    <w:pPr>
      <w:widowControl w:val="0"/>
      <w:wordWrap w:val="0"/>
      <w:ind w:left="720" w:hanging="720"/>
    </w:pPr>
  </w:style>
  <w:style w:type="paragraph" w:customStyle="1" w:styleId="ParaAttribute23">
    <w:name w:val="ParaAttribute23"/>
    <w:rsid w:val="00905BF9"/>
    <w:pPr>
      <w:widowControl w:val="0"/>
      <w:wordWrap w:val="0"/>
    </w:pPr>
  </w:style>
  <w:style w:type="paragraph" w:customStyle="1" w:styleId="ParaAttribute24">
    <w:name w:val="ParaAttribute24"/>
    <w:rsid w:val="00905BF9"/>
    <w:pPr>
      <w:widowControl w:val="0"/>
      <w:wordWrap w:val="0"/>
      <w:ind w:left="1440" w:hanging="720"/>
    </w:pPr>
  </w:style>
  <w:style w:type="paragraph" w:customStyle="1" w:styleId="ParaAttribute25">
    <w:name w:val="ParaAttribute25"/>
    <w:rsid w:val="00905BF9"/>
    <w:pPr>
      <w:widowControl w:val="0"/>
      <w:wordWrap w:val="0"/>
      <w:ind w:left="720"/>
    </w:pPr>
  </w:style>
  <w:style w:type="paragraph" w:customStyle="1" w:styleId="ParaAttribute26">
    <w:name w:val="ParaAttribute26"/>
    <w:rsid w:val="00905BF9"/>
    <w:pPr>
      <w:tabs>
        <w:tab w:val="left" w:pos="709"/>
        <w:tab w:val="left" w:pos="709"/>
      </w:tabs>
      <w:wordWrap w:val="0"/>
      <w:ind w:left="705" w:hanging="705"/>
    </w:pPr>
  </w:style>
  <w:style w:type="paragraph" w:customStyle="1" w:styleId="ParaAttribute27">
    <w:name w:val="ParaAttribute27"/>
    <w:rsid w:val="00905BF9"/>
    <w:pPr>
      <w:widowControl w:val="0"/>
      <w:wordWrap w:val="0"/>
    </w:pPr>
  </w:style>
  <w:style w:type="character" w:customStyle="1" w:styleId="CharAttribute0">
    <w:name w:val="CharAttribute0"/>
    <w:rsid w:val="00905BF9"/>
    <w:rPr>
      <w:rFonts w:ascii="Arial" w:eastAsia="Calibri"/>
    </w:rPr>
  </w:style>
  <w:style w:type="character" w:customStyle="1" w:styleId="CharAttribute1">
    <w:name w:val="CharAttribute1"/>
    <w:rsid w:val="00905BF9"/>
    <w:rPr>
      <w:rFonts w:ascii="Arial" w:eastAsia="Calibri"/>
      <w:sz w:val="24"/>
    </w:rPr>
  </w:style>
  <w:style w:type="character" w:customStyle="1" w:styleId="CharAttribute2">
    <w:name w:val="CharAttribute2"/>
    <w:rsid w:val="00905BF9"/>
    <w:rPr>
      <w:rFonts w:ascii="Arial" w:eastAsia="Calibri"/>
    </w:rPr>
  </w:style>
  <w:style w:type="character" w:customStyle="1" w:styleId="CharAttribute3">
    <w:name w:val="CharAttribute3"/>
    <w:rsid w:val="00905BF9"/>
    <w:rPr>
      <w:rFonts w:ascii="Arial" w:eastAsia="Calibri"/>
      <w:b/>
      <w:sz w:val="24"/>
    </w:rPr>
  </w:style>
  <w:style w:type="character" w:customStyle="1" w:styleId="CharAttribute4">
    <w:name w:val="CharAttribute4"/>
    <w:rsid w:val="00905BF9"/>
    <w:rPr>
      <w:rFonts w:ascii="Arial" w:eastAsia="Calibri"/>
      <w:b/>
      <w:sz w:val="24"/>
      <w:vertAlign w:val="superscript"/>
    </w:rPr>
  </w:style>
  <w:style w:type="character" w:customStyle="1" w:styleId="CharAttribute5">
    <w:name w:val="CharAttribute5"/>
    <w:rsid w:val="00905BF9"/>
    <w:rPr>
      <w:rFonts w:ascii="Calibri" w:eastAsia="Calibri"/>
    </w:rPr>
  </w:style>
  <w:style w:type="character" w:customStyle="1" w:styleId="CharAttribute6">
    <w:name w:val="CharAttribute6"/>
    <w:rsid w:val="00905BF9"/>
    <w:rPr>
      <w:rFonts w:ascii="Arial" w:eastAsia="Times New Roman"/>
    </w:rPr>
  </w:style>
  <w:style w:type="character" w:customStyle="1" w:styleId="CharAttribute7">
    <w:name w:val="CharAttribute7"/>
    <w:rsid w:val="00905BF9"/>
    <w:rPr>
      <w:rFonts w:ascii="Arial" w:eastAsia="Calibri"/>
      <w:b/>
      <w:color w:val="0000FF"/>
      <w:sz w:val="24"/>
      <w:u w:val="single" w:color="0000FF"/>
    </w:rPr>
  </w:style>
  <w:style w:type="character" w:customStyle="1" w:styleId="CharAttribute8">
    <w:name w:val="CharAttribute8"/>
    <w:rsid w:val="00905BF9"/>
    <w:rPr>
      <w:rFonts w:ascii="Times New Roman" w:eastAsia="Times New Roman"/>
    </w:rPr>
  </w:style>
  <w:style w:type="character" w:customStyle="1" w:styleId="CharAttribute9">
    <w:name w:val="CharAttribute9"/>
    <w:rsid w:val="00905BF9"/>
    <w:rPr>
      <w:rFonts w:ascii="Arial" w:eastAsia="Calibri"/>
      <w:b/>
      <w:color w:val="0000FF"/>
      <w:sz w:val="24"/>
      <w:u w:val="single" w:color="0000FF"/>
    </w:rPr>
  </w:style>
  <w:style w:type="character" w:customStyle="1" w:styleId="CharAttribute10">
    <w:name w:val="CharAttribute10"/>
    <w:rsid w:val="00905BF9"/>
    <w:rPr>
      <w:rFonts w:ascii="Arial" w:eastAsia="Calibri"/>
    </w:rPr>
  </w:style>
  <w:style w:type="character" w:customStyle="1" w:styleId="CharAttribute11">
    <w:name w:val="CharAttribute11"/>
    <w:rsid w:val="00905BF9"/>
    <w:rPr>
      <w:rFonts w:ascii="Arial" w:eastAsia="Arial"/>
    </w:rPr>
  </w:style>
  <w:style w:type="character" w:customStyle="1" w:styleId="CharAttribute12">
    <w:name w:val="CharAttribute12"/>
    <w:rsid w:val="00905BF9"/>
    <w:rPr>
      <w:rFonts w:ascii="Arial" w:eastAsia="Arial"/>
      <w:b/>
      <w:sz w:val="24"/>
    </w:rPr>
  </w:style>
  <w:style w:type="character" w:customStyle="1" w:styleId="CharAttribute13">
    <w:name w:val="CharAttribute13"/>
    <w:rsid w:val="00905BF9"/>
    <w:rPr>
      <w:rFonts w:ascii="Arial" w:eastAsia="Arial"/>
      <w:sz w:val="24"/>
    </w:rPr>
  </w:style>
  <w:style w:type="character" w:customStyle="1" w:styleId="CharAttribute14">
    <w:name w:val="CharAttribute14"/>
    <w:rsid w:val="00905BF9"/>
    <w:rPr>
      <w:rFonts w:ascii="Arial" w:eastAsia="Arial"/>
      <w:sz w:val="24"/>
    </w:rPr>
  </w:style>
  <w:style w:type="character" w:customStyle="1" w:styleId="CharAttribute15">
    <w:name w:val="CharAttribute15"/>
    <w:rsid w:val="00905BF9"/>
    <w:rPr>
      <w:rFonts w:ascii="Arial" w:eastAsia="Arial"/>
      <w:sz w:val="24"/>
    </w:rPr>
  </w:style>
  <w:style w:type="character" w:customStyle="1" w:styleId="CharAttribute16">
    <w:name w:val="CharAttribute16"/>
    <w:rsid w:val="00905BF9"/>
    <w:rPr>
      <w:rFonts w:ascii="Batang" w:eastAsia="Batang"/>
    </w:rPr>
  </w:style>
  <w:style w:type="character" w:customStyle="1" w:styleId="CharAttribute17">
    <w:name w:val="CharAttribute17"/>
    <w:rsid w:val="00905BF9"/>
    <w:rPr>
      <w:rFonts w:ascii="Arial" w:eastAsia="Arial"/>
      <w:b/>
      <w:sz w:val="24"/>
    </w:rPr>
  </w:style>
  <w:style w:type="character" w:customStyle="1" w:styleId="CharAttribute18">
    <w:name w:val="CharAttribute18"/>
    <w:rsid w:val="00905BF9"/>
    <w:rPr>
      <w:rFonts w:ascii="Arial" w:eastAsia="Calibri"/>
      <w:sz w:val="24"/>
      <w:vertAlign w:val="superscript"/>
    </w:rPr>
  </w:style>
  <w:style w:type="character" w:customStyle="1" w:styleId="CharAttribute19">
    <w:name w:val="CharAttribute19"/>
    <w:rsid w:val="00905BF9"/>
    <w:rPr>
      <w:rFonts w:ascii="Calibri" w:eastAsia="Calibri"/>
      <w:sz w:val="24"/>
    </w:rPr>
  </w:style>
  <w:style w:type="character" w:customStyle="1" w:styleId="CharAttribute20">
    <w:name w:val="CharAttribute20"/>
    <w:rsid w:val="00905BF9"/>
    <w:rPr>
      <w:rFonts w:ascii="Times New Roman" w:eastAsia="Batang"/>
    </w:rPr>
  </w:style>
  <w:style w:type="character" w:customStyle="1" w:styleId="CharAttribute21">
    <w:name w:val="CharAttribute21"/>
    <w:rsid w:val="00905BF9"/>
    <w:rPr>
      <w:rFonts w:ascii="Arial" w:eastAsia="Calibri"/>
      <w:b/>
      <w:sz w:val="24"/>
    </w:rPr>
  </w:style>
  <w:style w:type="character" w:customStyle="1" w:styleId="CharAttribute22">
    <w:name w:val="CharAttribute22"/>
    <w:rsid w:val="00905BF9"/>
    <w:rPr>
      <w:rFonts w:ascii="Arial" w:eastAsia="Arial"/>
      <w:sz w:val="24"/>
    </w:rPr>
  </w:style>
  <w:style w:type="character" w:customStyle="1" w:styleId="CharAttribute23">
    <w:name w:val="CharAttribute23"/>
    <w:rsid w:val="00905BF9"/>
    <w:rPr>
      <w:rFonts w:ascii="Arial" w:eastAsia="Calibri"/>
      <w:sz w:val="24"/>
    </w:rPr>
  </w:style>
  <w:style w:type="character" w:customStyle="1" w:styleId="CharAttribute24">
    <w:name w:val="CharAttribute24"/>
    <w:rsid w:val="00905BF9"/>
    <w:rPr>
      <w:rFonts w:ascii="Arial" w:eastAsia="Arial"/>
      <w:b/>
      <w:sz w:val="24"/>
    </w:rPr>
  </w:style>
  <w:style w:type="paragraph" w:styleId="NoSpacing">
    <w:name w:val="No Spacing"/>
    <w:uiPriority w:val="1"/>
    <w:qFormat/>
    <w:rsid w:val="00A370D0"/>
    <w:pPr>
      <w:widowControl w:val="0"/>
      <w:wordWrap w:val="0"/>
      <w:autoSpaceDE w:val="0"/>
      <w:autoSpaceDN w:val="0"/>
      <w:jc w:val="both"/>
    </w:pPr>
    <w:rPr>
      <w:rFonts w:ascii="Batang"/>
      <w:kern w:val="2"/>
      <w:lang w:val="en-US" w:eastAsia="ko-KR"/>
    </w:rPr>
  </w:style>
  <w:style w:type="character" w:customStyle="1" w:styleId="CharAttribute25">
    <w:name w:val="CharAttribute25"/>
    <w:rsid w:val="00A32334"/>
    <w:rPr>
      <w:rFonts w:ascii="Arial" w:eastAsia="Calibri"/>
      <w:b/>
      <w:sz w:val="24"/>
    </w:rPr>
  </w:style>
  <w:style w:type="character" w:customStyle="1" w:styleId="CharAttribute26">
    <w:name w:val="CharAttribute26"/>
    <w:rsid w:val="00A32334"/>
    <w:rPr>
      <w:rFonts w:ascii="Arial" w:eastAsia="Calibri"/>
      <w:sz w:val="24"/>
    </w:rPr>
  </w:style>
  <w:style w:type="paragraph" w:styleId="Header">
    <w:name w:val="header"/>
    <w:basedOn w:val="Normal"/>
    <w:link w:val="HeaderChar"/>
    <w:uiPriority w:val="99"/>
    <w:unhideWhenUsed/>
    <w:rsid w:val="000A1D51"/>
    <w:pPr>
      <w:tabs>
        <w:tab w:val="center" w:pos="4513"/>
        <w:tab w:val="right" w:pos="9026"/>
      </w:tabs>
    </w:pPr>
  </w:style>
  <w:style w:type="character" w:customStyle="1" w:styleId="HeaderChar">
    <w:name w:val="Header Char"/>
    <w:basedOn w:val="DefaultParagraphFont"/>
    <w:link w:val="Header"/>
    <w:uiPriority w:val="99"/>
    <w:rsid w:val="000A1D51"/>
    <w:rPr>
      <w:rFonts w:ascii="Batang"/>
      <w:kern w:val="2"/>
      <w:lang w:val="en-US" w:eastAsia="ko-KR"/>
    </w:rPr>
  </w:style>
  <w:style w:type="paragraph" w:styleId="Footer">
    <w:name w:val="footer"/>
    <w:basedOn w:val="Normal"/>
    <w:link w:val="FooterChar"/>
    <w:uiPriority w:val="99"/>
    <w:unhideWhenUsed/>
    <w:rsid w:val="000A1D51"/>
    <w:pPr>
      <w:tabs>
        <w:tab w:val="center" w:pos="4513"/>
        <w:tab w:val="right" w:pos="9026"/>
      </w:tabs>
    </w:pPr>
  </w:style>
  <w:style w:type="character" w:customStyle="1" w:styleId="FooterChar">
    <w:name w:val="Footer Char"/>
    <w:basedOn w:val="DefaultParagraphFont"/>
    <w:link w:val="Footer"/>
    <w:uiPriority w:val="99"/>
    <w:rsid w:val="000A1D51"/>
    <w:rPr>
      <w:rFonts w:ascii="Batang"/>
      <w:kern w:val="2"/>
      <w:lang w:val="en-US" w:eastAsia="ko-KR"/>
    </w:rPr>
  </w:style>
  <w:style w:type="character" w:styleId="Hyperlink">
    <w:name w:val="Hyperlink"/>
    <w:basedOn w:val="DefaultParagraphFont"/>
    <w:uiPriority w:val="99"/>
    <w:unhideWhenUsed/>
    <w:rsid w:val="00945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kie.joyce@lancashi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7DD0-8820-45FC-A45B-0CCA18BE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1593</Words>
  <Characters>9083</Characters>
  <Application>Microsoft Office Word</Application>
  <DocSecurity>0</DocSecurity>
  <Lines>75</Lines>
  <Paragraphs>21</Paragraphs>
  <MMClips>0</MMClip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4</cp:revision>
  <dcterms:created xsi:type="dcterms:W3CDTF">2015-10-14T14:10:00Z</dcterms:created>
  <dcterms:modified xsi:type="dcterms:W3CDTF">2015-10-15T07:07:00Z</dcterms:modified>
</cp:coreProperties>
</file>